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2"/>
        <w:tblW w:w="8177" w:type="dxa"/>
        <w:jc w:val="center"/>
        <w:tblLayout w:type="autofit"/>
        <w:tblCellMar>
          <w:top w:w="0" w:type="dxa"/>
          <w:left w:w="108" w:type="dxa"/>
          <w:bottom w:w="0" w:type="dxa"/>
          <w:right w:w="108" w:type="dxa"/>
        </w:tblCellMar>
      </w:tblPr>
      <w:tblGrid>
        <w:gridCol w:w="8177"/>
      </w:tblGrid>
      <w:tr w14:paraId="6DA67128">
        <w:tblPrEx>
          <w:tblCellMar>
            <w:top w:w="0" w:type="dxa"/>
            <w:left w:w="108" w:type="dxa"/>
            <w:bottom w:w="0" w:type="dxa"/>
            <w:right w:w="108" w:type="dxa"/>
          </w:tblCellMar>
        </w:tblPrEx>
        <w:trPr>
          <w:trHeight w:val="1701" w:hRule="atLeast"/>
          <w:jc w:val="center"/>
        </w:trPr>
        <w:tc>
          <w:tcPr>
            <w:tcW w:w="8177" w:type="dxa"/>
            <w:vAlign w:val="center"/>
          </w:tcPr>
          <w:p w14:paraId="0FB86E75">
            <w:pPr>
              <w:spacing w:line="360" w:lineRule="auto"/>
              <w:jc w:val="center"/>
              <w:rPr>
                <w:rFonts w:eastAsia="黑体"/>
                <w:spacing w:val="20"/>
                <w:sz w:val="32"/>
                <w:szCs w:val="32"/>
              </w:rPr>
            </w:pPr>
            <w:r>
              <w:rPr>
                <w:rFonts w:hint="eastAsia" w:eastAsia="黑体"/>
                <w:spacing w:val="20"/>
                <w:sz w:val="32"/>
              </w:rPr>
              <w:t>中国核学会</w:t>
            </w:r>
            <w:r>
              <w:rPr>
                <w:rFonts w:eastAsia="黑体"/>
                <w:spacing w:val="20"/>
                <w:sz w:val="32"/>
              </w:rPr>
              <w:t>标准</w:t>
            </w:r>
          </w:p>
        </w:tc>
      </w:tr>
      <w:tr w14:paraId="1DF46A9C">
        <w:tblPrEx>
          <w:tblCellMar>
            <w:top w:w="0" w:type="dxa"/>
            <w:left w:w="108" w:type="dxa"/>
            <w:bottom w:w="0" w:type="dxa"/>
            <w:right w:w="108" w:type="dxa"/>
          </w:tblCellMar>
        </w:tblPrEx>
        <w:trPr>
          <w:trHeight w:val="4535" w:hRule="atLeast"/>
          <w:jc w:val="center"/>
        </w:trPr>
        <w:tc>
          <w:tcPr>
            <w:tcW w:w="8177" w:type="dxa"/>
            <w:vAlign w:val="center"/>
          </w:tcPr>
          <w:p w14:paraId="6B389FD1">
            <w:pPr>
              <w:spacing w:line="720" w:lineRule="auto"/>
              <w:jc w:val="center"/>
              <w:rPr>
                <w:rFonts w:eastAsia="黑体" w:cs="黑体"/>
                <w:spacing w:val="20"/>
                <w:sz w:val="44"/>
                <w:szCs w:val="44"/>
              </w:rPr>
            </w:pPr>
            <w:r>
              <w:rPr>
                <w:rFonts w:hint="eastAsia" w:eastAsia="黑体" w:cs="黑体"/>
                <w:spacing w:val="20"/>
                <w:sz w:val="44"/>
                <w:szCs w:val="44"/>
              </w:rPr>
              <w:t>高温气冷堆核动力厂压缩空气系统</w:t>
            </w:r>
          </w:p>
          <w:p w14:paraId="4DF319D9">
            <w:pPr>
              <w:spacing w:line="720" w:lineRule="auto"/>
              <w:jc w:val="center"/>
              <w:rPr>
                <w:rFonts w:eastAsia="黑体" w:cs="黑体"/>
                <w:spacing w:val="20"/>
                <w:sz w:val="44"/>
                <w:szCs w:val="44"/>
              </w:rPr>
            </w:pPr>
            <w:r>
              <w:rPr>
                <w:rFonts w:hint="eastAsia" w:eastAsia="黑体" w:cs="黑体"/>
                <w:spacing w:val="20"/>
                <w:sz w:val="44"/>
                <w:szCs w:val="44"/>
              </w:rPr>
              <w:t>设计准则</w:t>
            </w:r>
          </w:p>
          <w:p w14:paraId="569D3F3C">
            <w:pPr>
              <w:spacing w:line="720" w:lineRule="auto"/>
              <w:jc w:val="center"/>
              <w:rPr>
                <w:rFonts w:eastAsia="黑体"/>
                <w:spacing w:val="20"/>
                <w:sz w:val="44"/>
                <w:szCs w:val="44"/>
              </w:rPr>
            </w:pPr>
            <w:r>
              <w:rPr>
                <w:rFonts w:hint="eastAsia" w:eastAsia="黑体" w:cs="黑体"/>
                <w:spacing w:val="20"/>
                <w:sz w:val="44"/>
                <w:szCs w:val="44"/>
              </w:rPr>
              <w:t>（征求意见稿）</w:t>
            </w:r>
          </w:p>
        </w:tc>
      </w:tr>
      <w:tr w14:paraId="3BF0937C">
        <w:tblPrEx>
          <w:tblCellMar>
            <w:top w:w="0" w:type="dxa"/>
            <w:left w:w="108" w:type="dxa"/>
            <w:bottom w:w="0" w:type="dxa"/>
            <w:right w:w="108" w:type="dxa"/>
          </w:tblCellMar>
        </w:tblPrEx>
        <w:trPr>
          <w:trHeight w:val="4535" w:hRule="atLeast"/>
          <w:jc w:val="center"/>
        </w:trPr>
        <w:tc>
          <w:tcPr>
            <w:tcW w:w="8177" w:type="dxa"/>
            <w:vAlign w:val="center"/>
          </w:tcPr>
          <w:p w14:paraId="2DD01FED">
            <w:pPr>
              <w:spacing w:line="360" w:lineRule="auto"/>
              <w:jc w:val="center"/>
              <w:rPr>
                <w:rFonts w:eastAsia="黑体"/>
                <w:spacing w:val="20"/>
                <w:sz w:val="44"/>
                <w:szCs w:val="44"/>
              </w:rPr>
            </w:pPr>
            <w:r>
              <w:rPr>
                <w:rFonts w:hint="eastAsia" w:eastAsia="黑体"/>
                <w:spacing w:val="20"/>
                <w:sz w:val="44"/>
                <w:szCs w:val="32"/>
              </w:rPr>
              <w:t>编制说明</w:t>
            </w:r>
          </w:p>
        </w:tc>
      </w:tr>
      <w:tr w14:paraId="122E4394">
        <w:tblPrEx>
          <w:tblCellMar>
            <w:top w:w="0" w:type="dxa"/>
            <w:left w:w="108" w:type="dxa"/>
            <w:bottom w:w="0" w:type="dxa"/>
            <w:right w:w="108" w:type="dxa"/>
          </w:tblCellMar>
        </w:tblPrEx>
        <w:trPr>
          <w:trHeight w:val="2835" w:hRule="atLeast"/>
          <w:jc w:val="center"/>
        </w:trPr>
        <w:tc>
          <w:tcPr>
            <w:tcW w:w="8177" w:type="dxa"/>
            <w:vAlign w:val="center"/>
          </w:tcPr>
          <w:p w14:paraId="3C65DD7F">
            <w:pPr>
              <w:spacing w:line="360" w:lineRule="auto"/>
              <w:jc w:val="center"/>
              <w:rPr>
                <w:rFonts w:eastAsia="黑体"/>
                <w:color w:val="0070C0"/>
                <w:spacing w:val="20"/>
                <w:sz w:val="32"/>
              </w:rPr>
            </w:pPr>
            <w:r>
              <w:rPr>
                <w:rFonts w:hint="eastAsia" w:eastAsia="黑体"/>
                <w:color w:val="0070C0"/>
                <w:spacing w:val="20"/>
                <w:sz w:val="32"/>
              </w:rPr>
              <w:t>中核能源科技有限公司</w:t>
            </w:r>
          </w:p>
          <w:p w14:paraId="36B81488">
            <w:pPr>
              <w:spacing w:line="360" w:lineRule="auto"/>
              <w:jc w:val="center"/>
              <w:rPr>
                <w:rFonts w:eastAsia="黑体"/>
                <w:sz w:val="28"/>
                <w:szCs w:val="28"/>
              </w:rPr>
            </w:pPr>
            <w:r>
              <w:rPr>
                <w:rFonts w:eastAsia="黑体"/>
                <w:spacing w:val="20"/>
                <w:sz w:val="32"/>
              </w:rPr>
              <w:t>2026</w:t>
            </w:r>
            <w:r>
              <w:rPr>
                <w:rFonts w:hint="eastAsia" w:eastAsia="黑体"/>
                <w:spacing w:val="20"/>
                <w:sz w:val="32"/>
              </w:rPr>
              <w:t>年</w:t>
            </w:r>
            <w:r>
              <w:rPr>
                <w:rFonts w:eastAsia="黑体"/>
                <w:spacing w:val="20"/>
                <w:sz w:val="32"/>
              </w:rPr>
              <w:t>7</w:t>
            </w:r>
            <w:r>
              <w:rPr>
                <w:rFonts w:hint="eastAsia" w:eastAsia="黑体"/>
                <w:spacing w:val="20"/>
                <w:sz w:val="32"/>
              </w:rPr>
              <w:t>月</w:t>
            </w:r>
          </w:p>
        </w:tc>
      </w:tr>
    </w:tbl>
    <w:p w14:paraId="486A32D6">
      <w:pPr>
        <w:snapToGrid w:val="0"/>
        <w:jc w:val="center"/>
        <w:rPr>
          <w:rFonts w:ascii="黑体" w:eastAsia="黑体"/>
          <w:spacing w:val="20"/>
          <w:sz w:val="30"/>
          <w:szCs w:val="30"/>
        </w:rPr>
        <w:sectPr>
          <w:footerReference r:id="rId3" w:type="default"/>
          <w:pgSz w:w="11906" w:h="16838"/>
          <w:pgMar w:top="1440" w:right="1800" w:bottom="1440" w:left="1800" w:header="851" w:footer="992" w:gutter="0"/>
          <w:cols w:space="425" w:num="1"/>
          <w:docGrid w:type="lines" w:linePitch="312" w:charSpace="0"/>
        </w:sectPr>
      </w:pPr>
    </w:p>
    <w:p w14:paraId="544A1A61">
      <w:pPr>
        <w:snapToGrid w:val="0"/>
        <w:jc w:val="center"/>
        <w:rPr>
          <w:rFonts w:ascii="黑体" w:eastAsia="黑体"/>
          <w:spacing w:val="20"/>
          <w:sz w:val="30"/>
          <w:szCs w:val="30"/>
        </w:rPr>
      </w:pPr>
    </w:p>
    <w:p w14:paraId="10C500EE">
      <w:pPr>
        <w:snapToGrid w:val="0"/>
        <w:jc w:val="center"/>
        <w:rPr>
          <w:rFonts w:ascii="黑体" w:eastAsia="黑体"/>
          <w:spacing w:val="20"/>
          <w:sz w:val="32"/>
          <w:szCs w:val="30"/>
        </w:rPr>
      </w:pPr>
      <w:r>
        <w:rPr>
          <w:rFonts w:hint="eastAsia" w:ascii="黑体" w:eastAsia="黑体"/>
          <w:spacing w:val="20"/>
          <w:sz w:val="32"/>
          <w:szCs w:val="30"/>
        </w:rPr>
        <w:t>高温气冷堆核动力厂压缩空气系统设计准则</w:t>
      </w:r>
    </w:p>
    <w:p w14:paraId="3525292A">
      <w:pPr>
        <w:numPr>
          <w:ilvl w:val="0"/>
          <w:numId w:val="1"/>
        </w:numPr>
        <w:spacing w:before="240" w:after="240" w:line="360" w:lineRule="auto"/>
        <w:rPr>
          <w:rFonts w:eastAsia="黑体"/>
          <w:sz w:val="28"/>
          <w:szCs w:val="28"/>
        </w:rPr>
      </w:pPr>
      <w:r>
        <w:rPr>
          <w:rFonts w:eastAsia="黑体"/>
          <w:sz w:val="28"/>
          <w:szCs w:val="28"/>
        </w:rPr>
        <w:t>任务来源及计划要求</w:t>
      </w:r>
    </w:p>
    <w:p w14:paraId="3BDFA1F1">
      <w:pPr>
        <w:spacing w:line="360" w:lineRule="auto"/>
        <w:ind w:firstLine="480" w:firstLineChars="200"/>
        <w:rPr>
          <w:rFonts w:ascii="宋体" w:hAnsi="宋体"/>
          <w:color w:val="000000"/>
          <w:kern w:val="0"/>
          <w:sz w:val="24"/>
        </w:rPr>
      </w:pPr>
      <w:r>
        <w:rPr>
          <w:rFonts w:ascii="宋体" w:hAnsi="宋体"/>
          <w:kern w:val="0"/>
          <w:sz w:val="24"/>
          <w:lang w:val="zh-CN"/>
        </w:rPr>
        <w:t>本标准</w:t>
      </w:r>
      <w:r>
        <w:rPr>
          <w:rFonts w:hint="eastAsia" w:ascii="宋体" w:hAnsi="宋体"/>
          <w:kern w:val="0"/>
          <w:sz w:val="24"/>
          <w:lang w:val="zh-CN"/>
        </w:rPr>
        <w:t>制修订</w:t>
      </w:r>
      <w:r>
        <w:rPr>
          <w:rFonts w:ascii="宋体" w:hAnsi="宋体"/>
          <w:kern w:val="0"/>
          <w:sz w:val="24"/>
          <w:lang w:val="zh-CN"/>
        </w:rPr>
        <w:t>任</w:t>
      </w:r>
      <w:r>
        <w:rPr>
          <w:rFonts w:ascii="宋体" w:hAnsi="宋体"/>
          <w:color w:val="auto"/>
          <w:kern w:val="0"/>
          <w:sz w:val="24"/>
          <w:lang w:val="zh-CN"/>
        </w:rPr>
        <w:t>务由</w:t>
      </w:r>
      <w:r>
        <w:rPr>
          <w:rFonts w:hint="eastAsia" w:ascii="宋体" w:hAnsi="宋体"/>
          <w:color w:val="auto"/>
          <w:kern w:val="0"/>
          <w:sz w:val="24"/>
          <w:lang w:val="zh-CN"/>
        </w:rPr>
        <w:t>中国核学会《关于下达202</w:t>
      </w:r>
      <w:r>
        <w:rPr>
          <w:rFonts w:hint="eastAsia" w:ascii="宋体" w:hAnsi="宋体"/>
          <w:color w:val="auto"/>
          <w:kern w:val="0"/>
          <w:sz w:val="24"/>
        </w:rPr>
        <w:t>6</w:t>
      </w:r>
      <w:r>
        <w:rPr>
          <w:rFonts w:hint="eastAsia" w:ascii="宋体" w:hAnsi="宋体"/>
          <w:color w:val="auto"/>
          <w:kern w:val="0"/>
          <w:sz w:val="24"/>
          <w:lang w:val="zh-CN"/>
        </w:rPr>
        <w:t>年度第</w:t>
      </w:r>
      <w:r>
        <w:rPr>
          <w:rFonts w:hint="eastAsia" w:ascii="宋体" w:hAnsi="宋体"/>
          <w:color w:val="auto"/>
          <w:kern w:val="0"/>
          <w:sz w:val="24"/>
        </w:rPr>
        <w:t>二</w:t>
      </w:r>
      <w:r>
        <w:rPr>
          <w:rFonts w:hint="eastAsia" w:ascii="宋体" w:hAnsi="宋体"/>
          <w:color w:val="auto"/>
          <w:kern w:val="0"/>
          <w:sz w:val="24"/>
          <w:lang w:val="zh-CN"/>
        </w:rPr>
        <w:t>批核学会团体标准立项计划的通知》（中核学发【202</w:t>
      </w:r>
      <w:r>
        <w:rPr>
          <w:rFonts w:hint="eastAsia" w:ascii="宋体" w:hAnsi="宋体"/>
          <w:color w:val="auto"/>
          <w:kern w:val="0"/>
          <w:sz w:val="24"/>
        </w:rPr>
        <w:t>6</w:t>
      </w:r>
      <w:r>
        <w:rPr>
          <w:rFonts w:hint="eastAsia" w:ascii="宋体" w:hAnsi="宋体"/>
          <w:color w:val="auto"/>
          <w:kern w:val="0"/>
          <w:sz w:val="24"/>
          <w:lang w:val="zh-CN"/>
        </w:rPr>
        <w:t>】</w:t>
      </w:r>
      <w:r>
        <w:rPr>
          <w:rFonts w:hint="eastAsia" w:ascii="宋体" w:hAnsi="宋体"/>
          <w:color w:val="auto"/>
          <w:kern w:val="0"/>
          <w:sz w:val="24"/>
        </w:rPr>
        <w:t>115</w:t>
      </w:r>
      <w:r>
        <w:rPr>
          <w:rFonts w:hint="eastAsia" w:ascii="宋体" w:hAnsi="宋体"/>
          <w:color w:val="auto"/>
          <w:kern w:val="0"/>
          <w:sz w:val="24"/>
          <w:lang w:val="zh-CN"/>
        </w:rPr>
        <w:t>号）</w:t>
      </w:r>
      <w:r>
        <w:rPr>
          <w:rFonts w:ascii="宋体" w:hAnsi="宋体"/>
          <w:color w:val="auto"/>
          <w:kern w:val="0"/>
          <w:sz w:val="24"/>
          <w:lang w:val="zh-CN"/>
        </w:rPr>
        <w:t>，</w:t>
      </w:r>
      <w:r>
        <w:rPr>
          <w:rFonts w:hint="eastAsia" w:ascii="宋体" w:hAnsi="宋体"/>
          <w:color w:val="auto"/>
          <w:kern w:val="0"/>
          <w:sz w:val="24"/>
          <w:lang w:val="zh-CN"/>
        </w:rPr>
        <w:t>计划</w:t>
      </w:r>
      <w:r>
        <w:rPr>
          <w:rFonts w:ascii="宋体" w:hAnsi="宋体"/>
          <w:color w:val="auto"/>
          <w:kern w:val="0"/>
          <w:sz w:val="24"/>
          <w:lang w:val="zh-CN"/>
        </w:rPr>
        <w:t>编号</w:t>
      </w:r>
      <w:r>
        <w:rPr>
          <w:rFonts w:ascii="宋体" w:hAnsi="宋体"/>
          <w:color w:val="auto"/>
          <w:kern w:val="0"/>
          <w:sz w:val="24"/>
        </w:rPr>
        <w:t>为</w:t>
      </w:r>
      <w:r>
        <w:rPr>
          <w:rFonts w:hint="eastAsia" w:ascii="宋体" w:hAnsi="宋体"/>
          <w:color w:val="auto"/>
          <w:kern w:val="0"/>
          <w:sz w:val="24"/>
        </w:rPr>
        <w:t>HTB2026</w:t>
      </w:r>
      <w:r>
        <w:rPr>
          <w:rFonts w:ascii="宋体" w:hAnsi="宋体"/>
          <w:color w:val="auto"/>
          <w:kern w:val="0"/>
          <w:sz w:val="24"/>
        </w:rPr>
        <w:t>023，</w:t>
      </w:r>
      <w:r>
        <w:rPr>
          <w:rFonts w:hint="eastAsia" w:ascii="宋体" w:hAnsi="宋体"/>
          <w:color w:val="auto"/>
          <w:kern w:val="0"/>
          <w:sz w:val="24"/>
        </w:rPr>
        <w:t>标准计划名称为《高温气冷堆核动力厂压缩空气系统设计准则》，</w:t>
      </w:r>
      <w:r>
        <w:rPr>
          <w:rFonts w:ascii="宋体" w:hAnsi="宋体"/>
          <w:color w:val="auto"/>
          <w:kern w:val="0"/>
          <w:sz w:val="24"/>
        </w:rPr>
        <w:t>由</w:t>
      </w:r>
      <w:r>
        <w:rPr>
          <w:rFonts w:hint="eastAsia" w:ascii="宋体" w:hAnsi="宋体"/>
          <w:color w:val="auto"/>
          <w:kern w:val="0"/>
          <w:sz w:val="24"/>
        </w:rPr>
        <w:t>中核能源科技有限公司起草</w:t>
      </w:r>
      <w:r>
        <w:rPr>
          <w:rFonts w:ascii="宋体" w:hAnsi="宋体"/>
          <w:color w:val="auto"/>
          <w:kern w:val="0"/>
          <w:sz w:val="24"/>
        </w:rPr>
        <w:t>，</w:t>
      </w:r>
      <w:r>
        <w:rPr>
          <w:rFonts w:hint="eastAsia" w:ascii="宋体" w:hAnsi="宋体"/>
          <w:color w:val="auto"/>
          <w:kern w:val="0"/>
          <w:sz w:val="24"/>
        </w:rPr>
        <w:t>要求</w:t>
      </w:r>
      <w:r>
        <w:rPr>
          <w:rFonts w:ascii="宋体" w:hAnsi="宋体"/>
          <w:color w:val="auto"/>
          <w:kern w:val="0"/>
          <w:sz w:val="24"/>
        </w:rPr>
        <w:t>于2026年12月完成</w:t>
      </w:r>
      <w:r>
        <w:rPr>
          <w:rFonts w:hint="eastAsia" w:ascii="宋体" w:hAnsi="宋体"/>
          <w:color w:val="auto"/>
          <w:kern w:val="0"/>
          <w:sz w:val="24"/>
        </w:rPr>
        <w:t>本项目</w:t>
      </w:r>
      <w:r>
        <w:rPr>
          <w:rFonts w:ascii="宋体" w:hAnsi="宋体"/>
          <w:color w:val="auto"/>
          <w:kern w:val="0"/>
          <w:sz w:val="24"/>
        </w:rPr>
        <w:t>。</w:t>
      </w:r>
    </w:p>
    <w:p w14:paraId="419FF928">
      <w:pPr>
        <w:numPr>
          <w:ilvl w:val="0"/>
          <w:numId w:val="1"/>
        </w:numPr>
        <w:spacing w:before="240" w:after="240" w:line="360" w:lineRule="auto"/>
        <w:rPr>
          <w:rFonts w:eastAsia="黑体"/>
          <w:sz w:val="28"/>
          <w:szCs w:val="28"/>
        </w:rPr>
      </w:pPr>
      <w:r>
        <w:rPr>
          <w:rFonts w:hint="eastAsia" w:eastAsia="黑体"/>
          <w:sz w:val="28"/>
          <w:szCs w:val="28"/>
        </w:rPr>
        <w:t>标准编制组组成</w:t>
      </w:r>
    </w:p>
    <w:p w14:paraId="768EBE23">
      <w:pPr>
        <w:spacing w:line="360" w:lineRule="auto"/>
        <w:ind w:firstLine="480" w:firstLineChars="200"/>
        <w:rPr>
          <w:rFonts w:ascii="宋体" w:hAnsi="宋体"/>
          <w:kern w:val="0"/>
          <w:sz w:val="24"/>
          <w:lang w:val="zh-CN"/>
        </w:rPr>
      </w:pPr>
      <w:r>
        <w:rPr>
          <w:rFonts w:hint="eastAsia" w:ascii="宋体" w:hAnsi="宋体"/>
          <w:kern w:val="0"/>
          <w:sz w:val="24"/>
          <w:lang w:val="zh-CN"/>
        </w:rPr>
        <w:t>本标准起草工作组成员及任务分工见表1。</w:t>
      </w:r>
    </w:p>
    <w:p w14:paraId="256D9540">
      <w:pPr>
        <w:spacing w:line="360" w:lineRule="auto"/>
        <w:ind w:firstLine="480" w:firstLineChars="200"/>
        <w:jc w:val="center"/>
        <w:rPr>
          <w:rFonts w:ascii="宋体" w:hAnsi="宋体"/>
          <w:sz w:val="24"/>
        </w:rPr>
      </w:pPr>
      <w:r>
        <w:rPr>
          <w:rFonts w:hint="eastAsia" w:ascii="宋体" w:hAnsi="宋体"/>
          <w:sz w:val="24"/>
        </w:rPr>
        <w:t xml:space="preserve">表1 </w:t>
      </w:r>
      <w:r>
        <w:rPr>
          <w:rFonts w:ascii="宋体" w:hAnsi="宋体"/>
          <w:sz w:val="24"/>
        </w:rPr>
        <w:t xml:space="preserve"> </w:t>
      </w:r>
      <w:r>
        <w:rPr>
          <w:rFonts w:hint="eastAsia" w:ascii="宋体" w:hAnsi="宋体"/>
          <w:kern w:val="0"/>
          <w:sz w:val="24"/>
          <w:lang w:val="zh-CN"/>
        </w:rPr>
        <w:t>起草工作</w:t>
      </w:r>
      <w:r>
        <w:rPr>
          <w:rFonts w:hint="eastAsia" w:ascii="宋体" w:hAnsi="宋体"/>
          <w:sz w:val="24"/>
        </w:rPr>
        <w:t>组成员及</w:t>
      </w:r>
      <w:r>
        <w:rPr>
          <w:rFonts w:hint="eastAsia" w:ascii="宋体" w:hAnsi="宋体"/>
          <w:kern w:val="0"/>
          <w:sz w:val="24"/>
          <w:lang w:val="zh-CN"/>
        </w:rPr>
        <w:t>任务</w:t>
      </w:r>
      <w:r>
        <w:rPr>
          <w:rFonts w:hint="eastAsia" w:ascii="宋体" w:hAnsi="宋体"/>
          <w:sz w:val="24"/>
        </w:rPr>
        <w:t>分工</w:t>
      </w:r>
    </w:p>
    <w:tbl>
      <w:tblPr>
        <w:tblStyle w:val="1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1134"/>
        <w:gridCol w:w="2977"/>
        <w:gridCol w:w="1843"/>
        <w:gridCol w:w="1751"/>
      </w:tblGrid>
      <w:tr w14:paraId="26537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57435D04">
            <w:pPr>
              <w:spacing w:line="360" w:lineRule="auto"/>
              <w:jc w:val="center"/>
              <w:rPr>
                <w:rFonts w:ascii="宋体" w:hAnsi="宋体"/>
                <w:szCs w:val="21"/>
              </w:rPr>
            </w:pPr>
            <w:r>
              <w:rPr>
                <w:rFonts w:hint="eastAsia" w:ascii="宋体" w:hAnsi="宋体"/>
                <w:szCs w:val="21"/>
              </w:rPr>
              <w:t>序号</w:t>
            </w:r>
          </w:p>
        </w:tc>
        <w:tc>
          <w:tcPr>
            <w:tcW w:w="1134" w:type="dxa"/>
          </w:tcPr>
          <w:p w14:paraId="67DB6774">
            <w:pPr>
              <w:spacing w:line="360" w:lineRule="auto"/>
              <w:jc w:val="center"/>
              <w:rPr>
                <w:rFonts w:ascii="宋体" w:hAnsi="宋体"/>
                <w:szCs w:val="21"/>
              </w:rPr>
            </w:pPr>
            <w:r>
              <w:rPr>
                <w:rFonts w:hint="eastAsia" w:ascii="宋体" w:hAnsi="宋体"/>
                <w:szCs w:val="21"/>
              </w:rPr>
              <w:t>姓名</w:t>
            </w:r>
          </w:p>
        </w:tc>
        <w:tc>
          <w:tcPr>
            <w:tcW w:w="2977" w:type="dxa"/>
          </w:tcPr>
          <w:p w14:paraId="1E24855A">
            <w:pPr>
              <w:spacing w:line="360" w:lineRule="auto"/>
              <w:jc w:val="center"/>
              <w:rPr>
                <w:rFonts w:ascii="宋体" w:hAnsi="宋体"/>
                <w:szCs w:val="21"/>
              </w:rPr>
            </w:pPr>
            <w:r>
              <w:rPr>
                <w:rFonts w:hint="eastAsia" w:ascii="宋体" w:hAnsi="宋体"/>
                <w:szCs w:val="21"/>
              </w:rPr>
              <w:t>单位</w:t>
            </w:r>
          </w:p>
        </w:tc>
        <w:tc>
          <w:tcPr>
            <w:tcW w:w="1843" w:type="dxa"/>
          </w:tcPr>
          <w:p w14:paraId="5934D40D">
            <w:pPr>
              <w:spacing w:line="360" w:lineRule="auto"/>
              <w:jc w:val="center"/>
              <w:rPr>
                <w:rFonts w:ascii="宋体" w:hAnsi="宋体"/>
                <w:szCs w:val="21"/>
              </w:rPr>
            </w:pPr>
            <w:r>
              <w:rPr>
                <w:rFonts w:hint="eastAsia" w:ascii="宋体" w:hAnsi="宋体"/>
                <w:szCs w:val="21"/>
              </w:rPr>
              <w:t>职务/职称</w:t>
            </w:r>
          </w:p>
        </w:tc>
        <w:tc>
          <w:tcPr>
            <w:tcW w:w="1751" w:type="dxa"/>
          </w:tcPr>
          <w:p w14:paraId="45C3EC0E">
            <w:pPr>
              <w:spacing w:line="360" w:lineRule="auto"/>
              <w:jc w:val="center"/>
              <w:rPr>
                <w:rFonts w:ascii="宋体" w:hAnsi="宋体"/>
                <w:szCs w:val="21"/>
              </w:rPr>
            </w:pPr>
            <w:r>
              <w:rPr>
                <w:rFonts w:hint="eastAsia" w:ascii="宋体" w:hAnsi="宋体"/>
                <w:szCs w:val="21"/>
              </w:rPr>
              <w:t>任务</w:t>
            </w:r>
          </w:p>
        </w:tc>
      </w:tr>
      <w:tr w14:paraId="3A278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3A8F9028">
            <w:pPr>
              <w:spacing w:line="360" w:lineRule="auto"/>
              <w:jc w:val="center"/>
              <w:rPr>
                <w:rFonts w:ascii="宋体" w:hAnsi="宋体"/>
                <w:szCs w:val="21"/>
              </w:rPr>
            </w:pPr>
            <w:r>
              <w:rPr>
                <w:rFonts w:hint="eastAsia" w:ascii="宋体" w:hAnsi="宋体"/>
                <w:szCs w:val="21"/>
              </w:rPr>
              <w:t>1</w:t>
            </w:r>
          </w:p>
        </w:tc>
        <w:tc>
          <w:tcPr>
            <w:tcW w:w="1134" w:type="dxa"/>
          </w:tcPr>
          <w:p w14:paraId="1EF73D3C">
            <w:pPr>
              <w:spacing w:line="360" w:lineRule="auto"/>
              <w:jc w:val="center"/>
              <w:rPr>
                <w:rFonts w:ascii="宋体" w:hAnsi="宋体"/>
                <w:szCs w:val="21"/>
              </w:rPr>
            </w:pPr>
            <w:r>
              <w:rPr>
                <w:rFonts w:hint="eastAsia"/>
              </w:rPr>
              <w:t>谷海强</w:t>
            </w:r>
          </w:p>
        </w:tc>
        <w:tc>
          <w:tcPr>
            <w:tcW w:w="2977" w:type="dxa"/>
          </w:tcPr>
          <w:p w14:paraId="4B013CC0">
            <w:pPr>
              <w:spacing w:line="360" w:lineRule="auto"/>
              <w:jc w:val="center"/>
              <w:rPr>
                <w:rFonts w:ascii="宋体" w:hAnsi="宋体"/>
                <w:szCs w:val="21"/>
              </w:rPr>
            </w:pPr>
            <w:r>
              <w:rPr>
                <w:rFonts w:hint="eastAsia"/>
              </w:rPr>
              <w:t>中核能源科技有限公司</w:t>
            </w:r>
          </w:p>
        </w:tc>
        <w:tc>
          <w:tcPr>
            <w:tcW w:w="1843" w:type="dxa"/>
          </w:tcPr>
          <w:p w14:paraId="31836779">
            <w:pPr>
              <w:spacing w:line="360" w:lineRule="auto"/>
              <w:jc w:val="center"/>
              <w:rPr>
                <w:rFonts w:ascii="宋体" w:hAnsi="宋体"/>
                <w:szCs w:val="21"/>
              </w:rPr>
            </w:pPr>
            <w:r>
              <w:rPr>
                <w:rFonts w:hint="eastAsia"/>
              </w:rPr>
              <w:t>工程师</w:t>
            </w:r>
          </w:p>
        </w:tc>
        <w:tc>
          <w:tcPr>
            <w:tcW w:w="1751" w:type="dxa"/>
          </w:tcPr>
          <w:p w14:paraId="4ADB2E21">
            <w:pPr>
              <w:spacing w:line="360" w:lineRule="auto"/>
              <w:jc w:val="center"/>
              <w:rPr>
                <w:rFonts w:ascii="宋体" w:hAnsi="宋体"/>
                <w:szCs w:val="21"/>
              </w:rPr>
            </w:pPr>
            <w:r>
              <w:t>编制全文</w:t>
            </w:r>
          </w:p>
        </w:tc>
      </w:tr>
      <w:tr w14:paraId="3E116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2B423FA8">
            <w:pPr>
              <w:spacing w:line="360" w:lineRule="auto"/>
              <w:jc w:val="center"/>
              <w:rPr>
                <w:rFonts w:ascii="宋体" w:hAnsi="宋体"/>
                <w:szCs w:val="21"/>
              </w:rPr>
            </w:pPr>
            <w:r>
              <w:rPr>
                <w:rFonts w:hint="eastAsia" w:ascii="宋体" w:hAnsi="宋体"/>
                <w:szCs w:val="21"/>
              </w:rPr>
              <w:t>2</w:t>
            </w:r>
          </w:p>
        </w:tc>
        <w:tc>
          <w:tcPr>
            <w:tcW w:w="1134" w:type="dxa"/>
          </w:tcPr>
          <w:p w14:paraId="0D9AFBD7">
            <w:pPr>
              <w:spacing w:line="360" w:lineRule="auto"/>
              <w:jc w:val="center"/>
              <w:rPr>
                <w:rFonts w:ascii="宋体" w:hAnsi="宋体"/>
                <w:szCs w:val="21"/>
              </w:rPr>
            </w:pPr>
            <w:r>
              <w:rPr>
                <w:rFonts w:hint="eastAsia"/>
              </w:rPr>
              <w:t>李爱娟</w:t>
            </w:r>
          </w:p>
        </w:tc>
        <w:tc>
          <w:tcPr>
            <w:tcW w:w="2977" w:type="dxa"/>
          </w:tcPr>
          <w:p w14:paraId="5EFB73F9">
            <w:pPr>
              <w:spacing w:line="360" w:lineRule="auto"/>
              <w:jc w:val="center"/>
              <w:rPr>
                <w:rFonts w:ascii="宋体" w:hAnsi="宋体"/>
                <w:szCs w:val="21"/>
              </w:rPr>
            </w:pPr>
            <w:r>
              <w:rPr>
                <w:rFonts w:hint="eastAsia"/>
              </w:rPr>
              <w:t>中核能源科技有限公司</w:t>
            </w:r>
          </w:p>
        </w:tc>
        <w:tc>
          <w:tcPr>
            <w:tcW w:w="1843" w:type="dxa"/>
          </w:tcPr>
          <w:p w14:paraId="2C52E4C1">
            <w:pPr>
              <w:spacing w:line="360" w:lineRule="auto"/>
              <w:jc w:val="center"/>
              <w:rPr>
                <w:rFonts w:ascii="宋体" w:hAnsi="宋体"/>
                <w:szCs w:val="21"/>
              </w:rPr>
            </w:pPr>
            <w:r>
              <w:t>高工</w:t>
            </w:r>
          </w:p>
        </w:tc>
        <w:tc>
          <w:tcPr>
            <w:tcW w:w="1751" w:type="dxa"/>
          </w:tcPr>
          <w:p w14:paraId="4E309C04">
            <w:pPr>
              <w:spacing w:line="360" w:lineRule="auto"/>
              <w:jc w:val="center"/>
              <w:rPr>
                <w:rFonts w:ascii="宋体" w:hAnsi="宋体"/>
                <w:szCs w:val="21"/>
              </w:rPr>
            </w:pPr>
            <w:r>
              <w:rPr>
                <w:rFonts w:hint="eastAsia"/>
              </w:rPr>
              <w:t>审核</w:t>
            </w:r>
            <w:r>
              <w:t>全文</w:t>
            </w:r>
          </w:p>
        </w:tc>
      </w:tr>
      <w:tr w14:paraId="2500D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543385B8">
            <w:pPr>
              <w:spacing w:line="360" w:lineRule="auto"/>
              <w:jc w:val="center"/>
              <w:rPr>
                <w:rFonts w:ascii="宋体" w:hAnsi="宋体"/>
                <w:szCs w:val="21"/>
              </w:rPr>
            </w:pPr>
            <w:r>
              <w:rPr>
                <w:rFonts w:hint="eastAsia" w:ascii="宋体" w:hAnsi="宋体"/>
                <w:szCs w:val="21"/>
              </w:rPr>
              <w:t>3</w:t>
            </w:r>
          </w:p>
        </w:tc>
        <w:tc>
          <w:tcPr>
            <w:tcW w:w="1134" w:type="dxa"/>
          </w:tcPr>
          <w:p w14:paraId="579DC519">
            <w:pPr>
              <w:spacing w:line="360" w:lineRule="auto"/>
              <w:jc w:val="center"/>
            </w:pPr>
            <w:r>
              <w:rPr>
                <w:rFonts w:hint="eastAsia"/>
              </w:rPr>
              <w:t>白新文</w:t>
            </w:r>
          </w:p>
        </w:tc>
        <w:tc>
          <w:tcPr>
            <w:tcW w:w="2977" w:type="dxa"/>
          </w:tcPr>
          <w:p w14:paraId="5A9F4771">
            <w:pPr>
              <w:spacing w:line="360" w:lineRule="auto"/>
              <w:jc w:val="center"/>
            </w:pPr>
            <w:r>
              <w:rPr>
                <w:rFonts w:hint="eastAsia"/>
              </w:rPr>
              <w:t>中核能源科技有限公司</w:t>
            </w:r>
          </w:p>
        </w:tc>
        <w:tc>
          <w:tcPr>
            <w:tcW w:w="1843" w:type="dxa"/>
          </w:tcPr>
          <w:p w14:paraId="2B84A174">
            <w:pPr>
              <w:spacing w:line="360" w:lineRule="auto"/>
              <w:jc w:val="center"/>
            </w:pPr>
            <w:r>
              <w:rPr>
                <w:rFonts w:hint="eastAsia"/>
              </w:rPr>
              <w:t>研高</w:t>
            </w:r>
          </w:p>
        </w:tc>
        <w:tc>
          <w:tcPr>
            <w:tcW w:w="1751" w:type="dxa"/>
          </w:tcPr>
          <w:p w14:paraId="1A32AC18">
            <w:pPr>
              <w:spacing w:line="360" w:lineRule="auto"/>
              <w:jc w:val="center"/>
            </w:pPr>
            <w:r>
              <w:t>校核全文</w:t>
            </w:r>
          </w:p>
        </w:tc>
      </w:tr>
      <w:tr w14:paraId="4CB63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3B66BF3C">
            <w:pPr>
              <w:spacing w:line="360" w:lineRule="auto"/>
              <w:jc w:val="center"/>
              <w:rPr>
                <w:rFonts w:ascii="宋体" w:hAnsi="宋体"/>
                <w:szCs w:val="21"/>
              </w:rPr>
            </w:pPr>
            <w:r>
              <w:rPr>
                <w:rFonts w:hint="eastAsia" w:ascii="宋体" w:hAnsi="宋体"/>
                <w:szCs w:val="21"/>
              </w:rPr>
              <w:t>4</w:t>
            </w:r>
          </w:p>
        </w:tc>
        <w:tc>
          <w:tcPr>
            <w:tcW w:w="1134" w:type="dxa"/>
          </w:tcPr>
          <w:p w14:paraId="13279C9A">
            <w:pPr>
              <w:spacing w:line="360" w:lineRule="auto"/>
              <w:jc w:val="center"/>
              <w:rPr>
                <w:rFonts w:ascii="宋体" w:hAnsi="宋体"/>
                <w:szCs w:val="21"/>
              </w:rPr>
            </w:pPr>
            <w:r>
              <w:rPr>
                <w:rFonts w:hint="eastAsia"/>
              </w:rPr>
              <w:t>张艳芝</w:t>
            </w:r>
          </w:p>
        </w:tc>
        <w:tc>
          <w:tcPr>
            <w:tcW w:w="2977" w:type="dxa"/>
          </w:tcPr>
          <w:p w14:paraId="213D8EEA">
            <w:pPr>
              <w:spacing w:line="360" w:lineRule="auto"/>
              <w:jc w:val="center"/>
              <w:rPr>
                <w:rFonts w:ascii="宋体" w:hAnsi="宋体"/>
                <w:szCs w:val="21"/>
              </w:rPr>
            </w:pPr>
            <w:r>
              <w:rPr>
                <w:rFonts w:hint="eastAsia"/>
              </w:rPr>
              <w:t>中核能源科技有限公司</w:t>
            </w:r>
          </w:p>
        </w:tc>
        <w:tc>
          <w:tcPr>
            <w:tcW w:w="1843" w:type="dxa"/>
          </w:tcPr>
          <w:p w14:paraId="59DCF5BC">
            <w:pPr>
              <w:spacing w:line="360" w:lineRule="auto"/>
              <w:jc w:val="center"/>
              <w:rPr>
                <w:rFonts w:ascii="宋体" w:hAnsi="宋体"/>
                <w:szCs w:val="21"/>
              </w:rPr>
            </w:pPr>
            <w:r>
              <w:rPr>
                <w:rFonts w:hint="eastAsia"/>
              </w:rPr>
              <w:t>研高</w:t>
            </w:r>
          </w:p>
        </w:tc>
        <w:tc>
          <w:tcPr>
            <w:tcW w:w="1751" w:type="dxa"/>
          </w:tcPr>
          <w:p w14:paraId="1133CB5D">
            <w:pPr>
              <w:spacing w:line="360" w:lineRule="auto"/>
              <w:jc w:val="center"/>
              <w:rPr>
                <w:rFonts w:ascii="宋体" w:hAnsi="宋体"/>
                <w:szCs w:val="21"/>
              </w:rPr>
            </w:pPr>
            <w:r>
              <w:t>审定全文</w:t>
            </w:r>
          </w:p>
        </w:tc>
      </w:tr>
      <w:tr w14:paraId="358AB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082F319F">
            <w:pPr>
              <w:spacing w:line="360" w:lineRule="auto"/>
              <w:jc w:val="center"/>
              <w:rPr>
                <w:rFonts w:ascii="宋体" w:hAnsi="宋体"/>
                <w:szCs w:val="21"/>
              </w:rPr>
            </w:pPr>
            <w:r>
              <w:rPr>
                <w:rFonts w:ascii="宋体" w:hAnsi="宋体"/>
                <w:szCs w:val="21"/>
              </w:rPr>
              <w:t>5</w:t>
            </w:r>
          </w:p>
        </w:tc>
        <w:tc>
          <w:tcPr>
            <w:tcW w:w="1134" w:type="dxa"/>
          </w:tcPr>
          <w:p w14:paraId="44CA515A">
            <w:pPr>
              <w:spacing w:line="360" w:lineRule="auto"/>
              <w:jc w:val="center"/>
              <w:rPr>
                <w:rFonts w:ascii="宋体" w:hAnsi="宋体"/>
                <w:szCs w:val="21"/>
              </w:rPr>
            </w:pPr>
            <w:r>
              <w:rPr>
                <w:rFonts w:hint="eastAsia"/>
              </w:rPr>
              <w:t>王英琳</w:t>
            </w:r>
          </w:p>
        </w:tc>
        <w:tc>
          <w:tcPr>
            <w:tcW w:w="2977" w:type="dxa"/>
          </w:tcPr>
          <w:p w14:paraId="39CD06DC">
            <w:pPr>
              <w:spacing w:line="360" w:lineRule="auto"/>
              <w:jc w:val="center"/>
              <w:rPr>
                <w:rFonts w:ascii="宋体" w:hAnsi="宋体"/>
                <w:szCs w:val="21"/>
              </w:rPr>
            </w:pPr>
            <w:r>
              <w:rPr>
                <w:rFonts w:hint="eastAsia"/>
              </w:rPr>
              <w:t>中核能源科技有限公司</w:t>
            </w:r>
          </w:p>
        </w:tc>
        <w:tc>
          <w:tcPr>
            <w:tcW w:w="1843" w:type="dxa"/>
          </w:tcPr>
          <w:p w14:paraId="1FE10960">
            <w:pPr>
              <w:spacing w:line="360" w:lineRule="auto"/>
              <w:jc w:val="center"/>
              <w:rPr>
                <w:rFonts w:ascii="宋体" w:hAnsi="宋体"/>
                <w:szCs w:val="21"/>
              </w:rPr>
            </w:pPr>
            <w:r>
              <w:rPr>
                <w:rFonts w:hint="eastAsia"/>
              </w:rPr>
              <w:t>工程师</w:t>
            </w:r>
          </w:p>
        </w:tc>
        <w:tc>
          <w:tcPr>
            <w:tcW w:w="1751" w:type="dxa"/>
          </w:tcPr>
          <w:p w14:paraId="25AA58FE">
            <w:pPr>
              <w:spacing w:line="360" w:lineRule="auto"/>
              <w:jc w:val="center"/>
              <w:rPr>
                <w:rFonts w:ascii="宋体" w:hAnsi="宋体"/>
                <w:szCs w:val="21"/>
              </w:rPr>
            </w:pPr>
            <w:r>
              <w:t>参与编制</w:t>
            </w:r>
          </w:p>
        </w:tc>
      </w:tr>
      <w:tr w14:paraId="1B8BA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3ADCBAF4">
            <w:pPr>
              <w:spacing w:line="360" w:lineRule="auto"/>
              <w:jc w:val="center"/>
              <w:rPr>
                <w:rFonts w:ascii="宋体" w:hAnsi="宋体"/>
                <w:szCs w:val="21"/>
              </w:rPr>
            </w:pPr>
            <w:r>
              <w:rPr>
                <w:rFonts w:ascii="宋体" w:hAnsi="宋体"/>
                <w:szCs w:val="21"/>
              </w:rPr>
              <w:t>6</w:t>
            </w:r>
          </w:p>
        </w:tc>
        <w:tc>
          <w:tcPr>
            <w:tcW w:w="1134" w:type="dxa"/>
          </w:tcPr>
          <w:p w14:paraId="40FCF057">
            <w:pPr>
              <w:spacing w:line="360" w:lineRule="auto"/>
              <w:jc w:val="center"/>
              <w:rPr>
                <w:rFonts w:ascii="宋体" w:hAnsi="宋体"/>
                <w:szCs w:val="21"/>
              </w:rPr>
            </w:pPr>
            <w:r>
              <w:rPr>
                <w:rFonts w:hint="eastAsia"/>
              </w:rPr>
              <w:t>尤明阳</w:t>
            </w:r>
          </w:p>
        </w:tc>
        <w:tc>
          <w:tcPr>
            <w:tcW w:w="2977" w:type="dxa"/>
          </w:tcPr>
          <w:p w14:paraId="429D214E">
            <w:pPr>
              <w:spacing w:line="360" w:lineRule="auto"/>
              <w:jc w:val="center"/>
              <w:rPr>
                <w:rFonts w:ascii="宋体" w:hAnsi="宋体"/>
                <w:szCs w:val="21"/>
              </w:rPr>
            </w:pPr>
            <w:r>
              <w:rPr>
                <w:rFonts w:hint="eastAsia"/>
              </w:rPr>
              <w:t>中核能源科技有限公司</w:t>
            </w:r>
          </w:p>
        </w:tc>
        <w:tc>
          <w:tcPr>
            <w:tcW w:w="1843" w:type="dxa"/>
          </w:tcPr>
          <w:p w14:paraId="2113962A">
            <w:pPr>
              <w:spacing w:line="360" w:lineRule="auto"/>
              <w:jc w:val="center"/>
              <w:rPr>
                <w:rFonts w:ascii="宋体" w:hAnsi="宋体"/>
                <w:szCs w:val="21"/>
              </w:rPr>
            </w:pPr>
            <w:r>
              <w:rPr>
                <w:rFonts w:hint="eastAsia"/>
              </w:rPr>
              <w:t>工程师</w:t>
            </w:r>
          </w:p>
        </w:tc>
        <w:tc>
          <w:tcPr>
            <w:tcW w:w="1751" w:type="dxa"/>
          </w:tcPr>
          <w:p w14:paraId="07748128">
            <w:pPr>
              <w:spacing w:line="360" w:lineRule="auto"/>
              <w:jc w:val="center"/>
              <w:rPr>
                <w:rFonts w:ascii="宋体" w:hAnsi="宋体"/>
                <w:szCs w:val="21"/>
              </w:rPr>
            </w:pPr>
            <w:r>
              <w:t>参与编制</w:t>
            </w:r>
          </w:p>
        </w:tc>
      </w:tr>
      <w:tr w14:paraId="1103B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0DFEDEC8">
            <w:pPr>
              <w:spacing w:line="360" w:lineRule="auto"/>
              <w:jc w:val="center"/>
              <w:rPr>
                <w:rFonts w:ascii="宋体" w:hAnsi="宋体"/>
                <w:szCs w:val="21"/>
              </w:rPr>
            </w:pPr>
            <w:r>
              <w:rPr>
                <w:rFonts w:ascii="宋体" w:hAnsi="宋体"/>
                <w:szCs w:val="21"/>
              </w:rPr>
              <w:t>7</w:t>
            </w:r>
          </w:p>
        </w:tc>
        <w:tc>
          <w:tcPr>
            <w:tcW w:w="1134" w:type="dxa"/>
          </w:tcPr>
          <w:p w14:paraId="05B55D26">
            <w:pPr>
              <w:spacing w:line="360" w:lineRule="auto"/>
              <w:jc w:val="center"/>
              <w:rPr>
                <w:rFonts w:ascii="宋体" w:hAnsi="宋体"/>
                <w:szCs w:val="21"/>
              </w:rPr>
            </w:pPr>
            <w:r>
              <w:rPr>
                <w:rFonts w:hint="eastAsia"/>
              </w:rPr>
              <w:t>孙振华</w:t>
            </w:r>
          </w:p>
        </w:tc>
        <w:tc>
          <w:tcPr>
            <w:tcW w:w="2977" w:type="dxa"/>
          </w:tcPr>
          <w:p w14:paraId="19C34104">
            <w:pPr>
              <w:spacing w:line="360" w:lineRule="auto"/>
              <w:jc w:val="center"/>
              <w:rPr>
                <w:rFonts w:ascii="宋体" w:hAnsi="宋体"/>
                <w:szCs w:val="21"/>
              </w:rPr>
            </w:pPr>
            <w:r>
              <w:rPr>
                <w:rFonts w:hint="eastAsia"/>
              </w:rPr>
              <w:t>中核能源科技有限公司</w:t>
            </w:r>
          </w:p>
        </w:tc>
        <w:tc>
          <w:tcPr>
            <w:tcW w:w="1843" w:type="dxa"/>
          </w:tcPr>
          <w:p w14:paraId="72A1F17E">
            <w:pPr>
              <w:spacing w:line="360" w:lineRule="auto"/>
              <w:jc w:val="center"/>
              <w:rPr>
                <w:rFonts w:ascii="宋体" w:hAnsi="宋体"/>
                <w:szCs w:val="21"/>
              </w:rPr>
            </w:pPr>
            <w:r>
              <w:rPr>
                <w:rFonts w:hint="eastAsia"/>
              </w:rPr>
              <w:t>工程师</w:t>
            </w:r>
          </w:p>
        </w:tc>
        <w:tc>
          <w:tcPr>
            <w:tcW w:w="1751" w:type="dxa"/>
          </w:tcPr>
          <w:p w14:paraId="49BA7412">
            <w:pPr>
              <w:spacing w:line="360" w:lineRule="auto"/>
              <w:jc w:val="center"/>
              <w:rPr>
                <w:rFonts w:ascii="宋体" w:hAnsi="宋体"/>
                <w:szCs w:val="21"/>
              </w:rPr>
            </w:pPr>
            <w:r>
              <w:t>参与</w:t>
            </w:r>
            <w:r>
              <w:rPr>
                <w:rFonts w:hint="eastAsia"/>
              </w:rPr>
              <w:t>编制</w:t>
            </w:r>
          </w:p>
        </w:tc>
      </w:tr>
      <w:tr w14:paraId="0C813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0962A886">
            <w:pPr>
              <w:spacing w:line="360" w:lineRule="auto"/>
              <w:jc w:val="center"/>
              <w:rPr>
                <w:rFonts w:ascii="宋体" w:hAnsi="宋体"/>
                <w:szCs w:val="21"/>
              </w:rPr>
            </w:pPr>
            <w:r>
              <w:rPr>
                <w:rFonts w:hint="eastAsia" w:ascii="宋体" w:hAnsi="宋体"/>
                <w:szCs w:val="21"/>
              </w:rPr>
              <w:t>8</w:t>
            </w:r>
          </w:p>
        </w:tc>
        <w:tc>
          <w:tcPr>
            <w:tcW w:w="1134" w:type="dxa"/>
          </w:tcPr>
          <w:p w14:paraId="28E7C8AA">
            <w:pPr>
              <w:spacing w:line="360" w:lineRule="auto"/>
              <w:jc w:val="center"/>
              <w:rPr>
                <w:rFonts w:ascii="宋体" w:hAnsi="宋体"/>
                <w:szCs w:val="21"/>
              </w:rPr>
            </w:pPr>
            <w:r>
              <w:t>公宇峰</w:t>
            </w:r>
          </w:p>
        </w:tc>
        <w:tc>
          <w:tcPr>
            <w:tcW w:w="2977" w:type="dxa"/>
          </w:tcPr>
          <w:p w14:paraId="5F09ED22">
            <w:pPr>
              <w:spacing w:line="360" w:lineRule="auto"/>
              <w:jc w:val="center"/>
              <w:rPr>
                <w:rFonts w:ascii="宋体" w:hAnsi="宋体"/>
                <w:szCs w:val="21"/>
              </w:rPr>
            </w:pPr>
            <w:r>
              <w:rPr>
                <w:rFonts w:hint="eastAsia"/>
              </w:rPr>
              <w:t>中核能源科技有限公司</w:t>
            </w:r>
          </w:p>
        </w:tc>
        <w:tc>
          <w:tcPr>
            <w:tcW w:w="1843" w:type="dxa"/>
          </w:tcPr>
          <w:p w14:paraId="1ADB2737">
            <w:pPr>
              <w:spacing w:line="360" w:lineRule="auto"/>
              <w:jc w:val="center"/>
              <w:rPr>
                <w:rFonts w:ascii="宋体" w:hAnsi="宋体"/>
                <w:szCs w:val="21"/>
              </w:rPr>
            </w:pPr>
            <w:r>
              <w:rPr>
                <w:rFonts w:hint="eastAsia"/>
              </w:rPr>
              <w:t>工程师</w:t>
            </w:r>
          </w:p>
        </w:tc>
        <w:tc>
          <w:tcPr>
            <w:tcW w:w="1751" w:type="dxa"/>
          </w:tcPr>
          <w:p w14:paraId="647C381A">
            <w:pPr>
              <w:spacing w:line="360" w:lineRule="auto"/>
              <w:jc w:val="center"/>
              <w:rPr>
                <w:rFonts w:ascii="宋体" w:hAnsi="宋体"/>
                <w:szCs w:val="21"/>
              </w:rPr>
            </w:pPr>
            <w:r>
              <w:t>参与</w:t>
            </w:r>
            <w:r>
              <w:rPr>
                <w:rFonts w:hint="eastAsia"/>
              </w:rPr>
              <w:t>编制</w:t>
            </w:r>
          </w:p>
        </w:tc>
      </w:tr>
    </w:tbl>
    <w:p w14:paraId="21A400A4">
      <w:pPr>
        <w:numPr>
          <w:ilvl w:val="0"/>
          <w:numId w:val="1"/>
        </w:numPr>
        <w:spacing w:before="240" w:after="240" w:line="360" w:lineRule="auto"/>
        <w:rPr>
          <w:rFonts w:ascii="黑体" w:eastAsia="黑体"/>
          <w:sz w:val="28"/>
          <w:szCs w:val="28"/>
        </w:rPr>
      </w:pPr>
      <w:r>
        <w:rPr>
          <w:rFonts w:hint="eastAsia" w:ascii="黑体" w:eastAsia="黑体"/>
          <w:sz w:val="28"/>
          <w:szCs w:val="28"/>
        </w:rPr>
        <w:t>编制过程</w:t>
      </w:r>
    </w:p>
    <w:p w14:paraId="0F618AE7">
      <w:pPr>
        <w:pStyle w:val="26"/>
        <w:spacing w:after="0" w:line="360" w:lineRule="auto"/>
        <w:ind w:firstLine="480" w:firstLineChars="200"/>
        <w:jc w:val="both"/>
      </w:pPr>
      <w:r>
        <w:rPr>
          <w:rFonts w:hint="eastAsia"/>
        </w:rPr>
        <w:t>本标准的起草过程主要分为前期准备、征求意见稿编制、送审稿编制、报批稿编制阶段。</w:t>
      </w:r>
    </w:p>
    <w:p w14:paraId="20EFCC04">
      <w:pPr>
        <w:spacing w:before="240" w:line="360" w:lineRule="auto"/>
        <w:rPr>
          <w:rFonts w:ascii="黑体" w:hAnsi="黑体" w:eastAsia="黑体"/>
          <w:kern w:val="0"/>
          <w:sz w:val="24"/>
        </w:rPr>
      </w:pPr>
      <w:r>
        <w:rPr>
          <w:rFonts w:hint="eastAsia" w:ascii="黑体" w:hAnsi="黑体" w:eastAsia="黑体"/>
          <w:kern w:val="0"/>
          <w:sz w:val="24"/>
        </w:rPr>
        <w:t>3.1 前期准备（20</w:t>
      </w:r>
      <w:r>
        <w:rPr>
          <w:rFonts w:ascii="黑体" w:hAnsi="黑体" w:eastAsia="黑体"/>
          <w:kern w:val="0"/>
          <w:sz w:val="24"/>
        </w:rPr>
        <w:t>26</w:t>
      </w:r>
      <w:r>
        <w:rPr>
          <w:rFonts w:hint="eastAsia" w:ascii="黑体" w:hAnsi="黑体" w:eastAsia="黑体"/>
          <w:kern w:val="0"/>
          <w:sz w:val="24"/>
        </w:rPr>
        <w:t>年</w:t>
      </w:r>
      <w:r>
        <w:rPr>
          <w:rFonts w:ascii="黑体" w:hAnsi="黑体" w:eastAsia="黑体"/>
          <w:kern w:val="0"/>
          <w:sz w:val="24"/>
        </w:rPr>
        <w:t>1</w:t>
      </w:r>
      <w:r>
        <w:rPr>
          <w:rFonts w:hint="eastAsia" w:ascii="黑体" w:hAnsi="黑体" w:eastAsia="黑体"/>
          <w:kern w:val="0"/>
          <w:sz w:val="24"/>
        </w:rPr>
        <w:t>月-20</w:t>
      </w:r>
      <w:r>
        <w:rPr>
          <w:rFonts w:ascii="黑体" w:hAnsi="黑体" w:eastAsia="黑体"/>
          <w:kern w:val="0"/>
          <w:sz w:val="24"/>
        </w:rPr>
        <w:t>26</w:t>
      </w:r>
      <w:r>
        <w:rPr>
          <w:rFonts w:hint="eastAsia" w:ascii="黑体" w:hAnsi="黑体" w:eastAsia="黑体"/>
          <w:kern w:val="0"/>
          <w:sz w:val="24"/>
        </w:rPr>
        <w:t>年</w:t>
      </w:r>
      <w:r>
        <w:rPr>
          <w:rFonts w:ascii="黑体" w:hAnsi="黑体" w:eastAsia="黑体"/>
          <w:kern w:val="0"/>
          <w:sz w:val="24"/>
        </w:rPr>
        <w:t>5</w:t>
      </w:r>
      <w:r>
        <w:rPr>
          <w:rFonts w:hint="eastAsia" w:ascii="黑体" w:hAnsi="黑体" w:eastAsia="黑体"/>
          <w:kern w:val="0"/>
          <w:sz w:val="24"/>
        </w:rPr>
        <w:t>月）</w:t>
      </w:r>
    </w:p>
    <w:p w14:paraId="7ECCCC87">
      <w:pPr>
        <w:spacing w:line="360" w:lineRule="auto"/>
        <w:ind w:firstLine="480" w:firstLineChars="200"/>
        <w:rPr>
          <w:rFonts w:ascii="宋体" w:hAnsi="宋体"/>
          <w:kern w:val="0"/>
          <w:sz w:val="24"/>
        </w:rPr>
      </w:pPr>
      <w:r>
        <w:rPr>
          <w:rFonts w:hint="eastAsia" w:ascii="宋体" w:hAnsi="宋体"/>
          <w:kern w:val="0"/>
          <w:sz w:val="24"/>
        </w:rPr>
        <w:t>前期准备阶段主要任务是成立</w:t>
      </w:r>
      <w:r>
        <w:rPr>
          <w:rFonts w:hint="eastAsia" w:ascii="宋体" w:hAnsi="宋体"/>
          <w:kern w:val="0"/>
          <w:sz w:val="24"/>
          <w:lang w:val="zh-CN"/>
        </w:rPr>
        <w:t>起草工作</w:t>
      </w:r>
      <w:r>
        <w:rPr>
          <w:rFonts w:hint="eastAsia" w:ascii="宋体" w:hAnsi="宋体"/>
          <w:sz w:val="24"/>
        </w:rPr>
        <w:t>组</w:t>
      </w:r>
      <w:r>
        <w:rPr>
          <w:rFonts w:hint="eastAsia" w:ascii="宋体" w:hAnsi="宋体"/>
          <w:kern w:val="0"/>
          <w:sz w:val="24"/>
        </w:rPr>
        <w:t>、分解工作任务、明确编制进度、收集了核安全法规、核安全导则、能源标准（NB）、中国核学会发布的团体标准和ASME有关标准相关资料，对上述所有标准进行了研究和分析，确立编制标准的技术内容。</w:t>
      </w:r>
    </w:p>
    <w:p w14:paraId="2A338496">
      <w:pPr>
        <w:spacing w:line="360" w:lineRule="auto"/>
        <w:ind w:firstLine="480" w:firstLineChars="200"/>
        <w:rPr>
          <w:rFonts w:ascii="宋体" w:hAnsi="宋体"/>
          <w:color w:val="auto"/>
          <w:kern w:val="0"/>
          <w:sz w:val="24"/>
        </w:rPr>
      </w:pPr>
      <w:r>
        <w:rPr>
          <w:rFonts w:hint="eastAsia" w:ascii="宋体" w:hAnsi="宋体"/>
          <w:color w:val="auto"/>
          <w:kern w:val="0"/>
          <w:sz w:val="24"/>
        </w:rPr>
        <w:t>核工业标准化研究所于202</w:t>
      </w:r>
      <w:r>
        <w:rPr>
          <w:rFonts w:ascii="宋体" w:hAnsi="宋体"/>
          <w:color w:val="auto"/>
          <w:kern w:val="0"/>
          <w:sz w:val="24"/>
        </w:rPr>
        <w:t>6</w:t>
      </w:r>
      <w:r>
        <w:rPr>
          <w:rFonts w:hint="eastAsia" w:ascii="宋体" w:hAnsi="宋体"/>
          <w:color w:val="auto"/>
          <w:kern w:val="0"/>
          <w:sz w:val="24"/>
        </w:rPr>
        <w:t>年</w:t>
      </w:r>
      <w:r>
        <w:rPr>
          <w:rFonts w:ascii="宋体" w:hAnsi="宋体"/>
          <w:color w:val="auto"/>
          <w:kern w:val="0"/>
          <w:sz w:val="24"/>
        </w:rPr>
        <w:t>2</w:t>
      </w:r>
      <w:r>
        <w:rPr>
          <w:rFonts w:hint="eastAsia" w:ascii="宋体" w:hAnsi="宋体"/>
          <w:color w:val="auto"/>
          <w:kern w:val="0"/>
          <w:sz w:val="24"/>
        </w:rPr>
        <w:t>月</w:t>
      </w:r>
      <w:r>
        <w:rPr>
          <w:rFonts w:ascii="宋体" w:hAnsi="宋体"/>
          <w:color w:val="auto"/>
          <w:kern w:val="0"/>
          <w:sz w:val="24"/>
        </w:rPr>
        <w:t>5</w:t>
      </w:r>
      <w:r>
        <w:rPr>
          <w:rFonts w:hint="eastAsia" w:ascii="宋体" w:hAnsi="宋体"/>
          <w:color w:val="auto"/>
          <w:kern w:val="0"/>
          <w:sz w:val="24"/>
        </w:rPr>
        <w:t>日于北京组织有关单位专家和代表召开了立项把关审查会，共有来自生态环境部核与辐射安全中心、中国核电工程有限公司等</w:t>
      </w:r>
      <w:r>
        <w:rPr>
          <w:rFonts w:ascii="宋体" w:hAnsi="宋体"/>
          <w:color w:val="auto"/>
          <w:kern w:val="0"/>
          <w:sz w:val="24"/>
        </w:rPr>
        <w:t>14</w:t>
      </w:r>
      <w:r>
        <w:rPr>
          <w:rFonts w:hint="eastAsia" w:ascii="宋体" w:hAnsi="宋体"/>
          <w:color w:val="auto"/>
          <w:kern w:val="0"/>
          <w:sz w:val="24"/>
        </w:rPr>
        <w:t>位评审专家参会，与会专家听取了编制组对标准编制背景情况的汇报，经过对标准内容深入讨论，对标准技术内容无实质性分歧意见，建议该标准立项，并提出部分修改意见。会后编制组对建议书和标准草案进行了修改。</w:t>
      </w:r>
    </w:p>
    <w:p w14:paraId="0CC8EDD1">
      <w:pPr>
        <w:spacing w:before="240" w:line="360" w:lineRule="auto"/>
        <w:rPr>
          <w:rFonts w:ascii="黑体" w:hAnsi="黑体" w:eastAsia="黑体"/>
          <w:color w:val="auto"/>
          <w:kern w:val="0"/>
          <w:sz w:val="24"/>
        </w:rPr>
      </w:pPr>
      <w:r>
        <w:rPr>
          <w:rFonts w:hint="eastAsia" w:ascii="黑体" w:hAnsi="黑体" w:eastAsia="黑体"/>
          <w:color w:val="auto"/>
          <w:kern w:val="0"/>
          <w:sz w:val="24"/>
        </w:rPr>
        <w:t>3.2 征求意见稿编制（20</w:t>
      </w:r>
      <w:r>
        <w:rPr>
          <w:rFonts w:ascii="黑体" w:hAnsi="黑体" w:eastAsia="黑体"/>
          <w:color w:val="auto"/>
          <w:kern w:val="0"/>
          <w:sz w:val="24"/>
        </w:rPr>
        <w:t>26</w:t>
      </w:r>
      <w:r>
        <w:rPr>
          <w:rFonts w:hint="eastAsia" w:ascii="黑体" w:hAnsi="黑体" w:eastAsia="黑体"/>
          <w:color w:val="auto"/>
          <w:kern w:val="0"/>
          <w:sz w:val="24"/>
        </w:rPr>
        <w:t>年</w:t>
      </w:r>
      <w:r>
        <w:rPr>
          <w:rFonts w:ascii="黑体" w:hAnsi="黑体" w:eastAsia="黑体"/>
          <w:color w:val="auto"/>
          <w:kern w:val="0"/>
          <w:sz w:val="24"/>
        </w:rPr>
        <w:t>5</w:t>
      </w:r>
      <w:r>
        <w:rPr>
          <w:rFonts w:hint="eastAsia" w:ascii="黑体" w:hAnsi="黑体" w:eastAsia="黑体"/>
          <w:color w:val="auto"/>
          <w:kern w:val="0"/>
          <w:sz w:val="24"/>
        </w:rPr>
        <w:t>月-20</w:t>
      </w:r>
      <w:r>
        <w:rPr>
          <w:rFonts w:ascii="黑体" w:hAnsi="黑体" w:eastAsia="黑体"/>
          <w:color w:val="auto"/>
          <w:kern w:val="0"/>
          <w:sz w:val="24"/>
        </w:rPr>
        <w:t>26</w:t>
      </w:r>
      <w:r>
        <w:rPr>
          <w:rFonts w:hint="eastAsia" w:ascii="黑体" w:hAnsi="黑体" w:eastAsia="黑体"/>
          <w:color w:val="auto"/>
          <w:kern w:val="0"/>
          <w:sz w:val="24"/>
        </w:rPr>
        <w:t>年7月）</w:t>
      </w:r>
    </w:p>
    <w:p w14:paraId="518D2DB4">
      <w:pPr>
        <w:spacing w:line="360" w:lineRule="auto"/>
        <w:ind w:firstLine="480" w:firstLineChars="200"/>
        <w:rPr>
          <w:color w:val="auto"/>
          <w:sz w:val="24"/>
        </w:rPr>
      </w:pPr>
      <w:r>
        <w:rPr>
          <w:rFonts w:hint="eastAsia"/>
          <w:color w:val="auto"/>
          <w:sz w:val="24"/>
        </w:rPr>
        <w:t>在具体章节编写过程中，对于标准内容的定位和合理安排问题，起草工作组内部进行多次反复讨论和修改，最终形成本标准征求意见稿。标准征求意见稿编制期间主要工作如下：</w:t>
      </w:r>
    </w:p>
    <w:p w14:paraId="53E625B9">
      <w:pPr>
        <w:spacing w:line="360" w:lineRule="auto"/>
        <w:ind w:firstLine="480" w:firstLineChars="200"/>
        <w:rPr>
          <w:color w:val="auto"/>
          <w:sz w:val="24"/>
        </w:rPr>
      </w:pPr>
      <w:r>
        <w:rPr>
          <w:rFonts w:hint="eastAsia"/>
          <w:color w:val="auto"/>
          <w:sz w:val="24"/>
        </w:rPr>
        <w:t>2026年</w:t>
      </w:r>
      <w:r>
        <w:rPr>
          <w:color w:val="auto"/>
          <w:sz w:val="24"/>
        </w:rPr>
        <w:t>5</w:t>
      </w:r>
      <w:r>
        <w:rPr>
          <w:rFonts w:hint="eastAsia"/>
          <w:color w:val="auto"/>
          <w:sz w:val="24"/>
        </w:rPr>
        <w:t>月</w:t>
      </w:r>
      <w:r>
        <w:rPr>
          <w:color w:val="auto"/>
          <w:sz w:val="24"/>
        </w:rPr>
        <w:t>30</w:t>
      </w:r>
      <w:r>
        <w:rPr>
          <w:rFonts w:hint="eastAsia"/>
          <w:color w:val="auto"/>
          <w:sz w:val="24"/>
        </w:rPr>
        <w:t>日完成修改，形成征求意见稿。2026年</w:t>
      </w:r>
      <w:r>
        <w:rPr>
          <w:color w:val="auto"/>
          <w:sz w:val="24"/>
        </w:rPr>
        <w:t>6</w:t>
      </w:r>
      <w:r>
        <w:rPr>
          <w:rFonts w:hint="eastAsia"/>
          <w:color w:val="auto"/>
          <w:sz w:val="24"/>
        </w:rPr>
        <w:t>月中旬，标准征求意见稿完成后，报送标准化所。2026年</w:t>
      </w:r>
      <w:r>
        <w:rPr>
          <w:color w:val="auto"/>
          <w:sz w:val="24"/>
        </w:rPr>
        <w:t>6</w:t>
      </w:r>
      <w:r>
        <w:rPr>
          <w:rFonts w:hint="eastAsia"/>
          <w:color w:val="auto"/>
          <w:sz w:val="24"/>
        </w:rPr>
        <w:t>月2</w:t>
      </w:r>
      <w:r>
        <w:rPr>
          <w:color w:val="auto"/>
          <w:sz w:val="24"/>
        </w:rPr>
        <w:t>6日</w:t>
      </w:r>
      <w:r>
        <w:rPr>
          <w:rFonts w:hint="eastAsia"/>
          <w:color w:val="auto"/>
          <w:sz w:val="24"/>
        </w:rPr>
        <w:t>，</w:t>
      </w:r>
      <w:r>
        <w:rPr>
          <w:rFonts w:hint="eastAsia" w:ascii="宋体" w:hAnsi="宋体"/>
          <w:color w:val="auto"/>
          <w:kern w:val="0"/>
          <w:sz w:val="24"/>
          <w:lang w:val="zh-CN"/>
        </w:rPr>
        <w:t>起草工作组</w:t>
      </w:r>
      <w:r>
        <w:rPr>
          <w:rFonts w:hint="eastAsia"/>
          <w:color w:val="auto"/>
          <w:sz w:val="24"/>
        </w:rPr>
        <w:t>收到标准化所的意见反馈。</w:t>
      </w:r>
      <w:r>
        <w:rPr>
          <w:rFonts w:hint="eastAsia" w:ascii="宋体" w:hAnsi="宋体"/>
          <w:color w:val="auto"/>
          <w:kern w:val="0"/>
          <w:sz w:val="24"/>
          <w:lang w:val="zh-CN"/>
        </w:rPr>
        <w:t>起草工作组</w:t>
      </w:r>
      <w:r>
        <w:rPr>
          <w:rFonts w:hint="eastAsia"/>
          <w:color w:val="auto"/>
          <w:sz w:val="24"/>
        </w:rPr>
        <w:t>根据反馈意见，对标准征求意见稿进行了格式和内容方面的修改和完善。在此基础上形成征求意见稿，于2026年7月</w:t>
      </w:r>
      <w:r>
        <w:rPr>
          <w:color w:val="auto"/>
          <w:sz w:val="24"/>
        </w:rPr>
        <w:t>3</w:t>
      </w:r>
      <w:r>
        <w:rPr>
          <w:rFonts w:hint="eastAsia"/>
          <w:color w:val="auto"/>
          <w:sz w:val="24"/>
        </w:rPr>
        <w:t>日将征求意见材料提交至核工业标准化研究所。</w:t>
      </w:r>
    </w:p>
    <w:p w14:paraId="25797C67">
      <w:pPr>
        <w:numPr>
          <w:ilvl w:val="0"/>
          <w:numId w:val="1"/>
        </w:numPr>
        <w:spacing w:before="240" w:after="240" w:line="360" w:lineRule="auto"/>
        <w:rPr>
          <w:rFonts w:ascii="黑体" w:hAnsi="黑体" w:eastAsia="黑体"/>
          <w:kern w:val="0"/>
          <w:sz w:val="24"/>
        </w:rPr>
      </w:pPr>
      <w:r>
        <w:rPr>
          <w:rFonts w:hint="eastAsia" w:ascii="黑体" w:eastAsia="黑体"/>
          <w:sz w:val="28"/>
          <w:szCs w:val="28"/>
        </w:rPr>
        <w:t>标准编写原则和主要内容</w:t>
      </w:r>
      <w:bookmarkStart w:id="0" w:name="_Toc361734314"/>
    </w:p>
    <w:bookmarkEnd w:id="0"/>
    <w:p w14:paraId="42D9830E">
      <w:pPr>
        <w:spacing w:before="240" w:line="360" w:lineRule="auto"/>
        <w:rPr>
          <w:rFonts w:ascii="黑体" w:hAnsi="黑体" w:eastAsia="黑体"/>
          <w:kern w:val="0"/>
          <w:sz w:val="24"/>
        </w:rPr>
      </w:pPr>
      <w:bookmarkStart w:id="1" w:name="_Toc361669937"/>
      <w:bookmarkEnd w:id="1"/>
      <w:bookmarkStart w:id="2" w:name="_Toc361734315"/>
      <w:r>
        <w:rPr>
          <w:rFonts w:hint="eastAsia" w:ascii="黑体" w:hAnsi="黑体" w:eastAsia="黑体"/>
          <w:kern w:val="0"/>
          <w:sz w:val="24"/>
        </w:rPr>
        <w:t>4.1 起草原则</w:t>
      </w:r>
      <w:bookmarkEnd w:id="2"/>
    </w:p>
    <w:p w14:paraId="0547C805">
      <w:pPr>
        <w:spacing w:line="360" w:lineRule="auto"/>
        <w:ind w:firstLine="480"/>
        <w:rPr>
          <w:rFonts w:asciiTheme="majorEastAsia" w:hAnsiTheme="majorEastAsia" w:eastAsiaTheme="majorEastAsia"/>
          <w:sz w:val="24"/>
          <w:szCs w:val="28"/>
          <w:lang w:val="de-DE"/>
        </w:rPr>
      </w:pPr>
      <w:r>
        <w:rPr>
          <w:rFonts w:hint="eastAsia" w:asciiTheme="minorEastAsia" w:hAnsiTheme="minorEastAsia"/>
          <w:sz w:val="24"/>
          <w:szCs w:val="28"/>
          <w:lang w:val="de-DE"/>
        </w:rPr>
        <w:t>本标准的起草严格遵照国家核安全技术法规导则，并与现行相关国家标准、行业标准保持协调一致。本标准</w:t>
      </w:r>
      <w:r>
        <w:rPr>
          <w:rFonts w:hint="eastAsia" w:asciiTheme="majorEastAsia" w:hAnsiTheme="majorEastAsia" w:eastAsiaTheme="majorEastAsia"/>
          <w:sz w:val="24"/>
          <w:szCs w:val="28"/>
          <w:lang w:val="de-DE"/>
        </w:rPr>
        <w:t xml:space="preserve">按照GB/T 1.1—2020《标准化工作导则 </w:t>
      </w:r>
      <w:r>
        <w:rPr>
          <w:rFonts w:asciiTheme="majorEastAsia" w:hAnsiTheme="majorEastAsia" w:eastAsiaTheme="majorEastAsia"/>
          <w:sz w:val="24"/>
          <w:szCs w:val="28"/>
          <w:lang w:val="de-DE"/>
        </w:rPr>
        <w:t xml:space="preserve"> </w:t>
      </w:r>
      <w:r>
        <w:rPr>
          <w:rFonts w:hint="eastAsia" w:asciiTheme="majorEastAsia" w:hAnsiTheme="majorEastAsia" w:eastAsiaTheme="majorEastAsia"/>
          <w:sz w:val="24"/>
          <w:szCs w:val="28"/>
          <w:lang w:val="de-DE"/>
        </w:rPr>
        <w:t>第1部分：标准化文件的结构和起草规则》</w:t>
      </w:r>
      <w:bookmarkStart w:id="3" w:name="_GoBack"/>
      <w:bookmarkEnd w:id="3"/>
      <w:r>
        <w:rPr>
          <w:rFonts w:hint="eastAsia" w:asciiTheme="majorEastAsia" w:hAnsiTheme="majorEastAsia" w:eastAsiaTheme="majorEastAsia"/>
          <w:sz w:val="24"/>
          <w:szCs w:val="28"/>
          <w:lang w:val="de-DE"/>
        </w:rPr>
        <w:t>的规定起草。</w:t>
      </w:r>
    </w:p>
    <w:p w14:paraId="6FC23DFE">
      <w:pPr>
        <w:spacing w:before="240" w:line="360" w:lineRule="auto"/>
        <w:rPr>
          <w:rFonts w:ascii="黑体" w:hAnsi="黑体" w:eastAsia="黑体"/>
          <w:kern w:val="0"/>
          <w:sz w:val="24"/>
        </w:rPr>
      </w:pPr>
      <w:r>
        <w:rPr>
          <w:rFonts w:hint="eastAsia" w:ascii="黑体" w:hAnsi="黑体" w:eastAsia="黑体"/>
          <w:kern w:val="0"/>
          <w:sz w:val="24"/>
        </w:rPr>
        <w:t>4.2主要内容</w:t>
      </w:r>
    </w:p>
    <w:p w14:paraId="489DF6F9">
      <w:pPr>
        <w:spacing w:before="240" w:line="360" w:lineRule="auto"/>
        <w:ind w:firstLine="480" w:firstLineChars="200"/>
        <w:rPr>
          <w:rFonts w:ascii="黑体" w:hAnsi="黑体" w:eastAsia="黑体"/>
          <w:kern w:val="0"/>
          <w:sz w:val="24"/>
        </w:rPr>
      </w:pPr>
      <w:r>
        <w:rPr>
          <w:rFonts w:hint="eastAsia" w:ascii="黑体" w:hAnsi="黑体" w:eastAsia="黑体"/>
          <w:kern w:val="0"/>
          <w:sz w:val="24"/>
        </w:rPr>
        <w:t>1、主要技术</w:t>
      </w:r>
      <w:r>
        <w:rPr>
          <w:rFonts w:ascii="黑体" w:hAnsi="黑体" w:eastAsia="黑体"/>
          <w:kern w:val="0"/>
          <w:sz w:val="24"/>
        </w:rPr>
        <w:t>内容</w:t>
      </w:r>
      <w:r>
        <w:rPr>
          <w:rFonts w:hint="eastAsia" w:ascii="黑体" w:hAnsi="黑体" w:eastAsia="黑体"/>
          <w:kern w:val="0"/>
          <w:sz w:val="24"/>
        </w:rPr>
        <w:t>说明</w:t>
      </w:r>
    </w:p>
    <w:p w14:paraId="7CE7441B">
      <w:pPr>
        <w:spacing w:line="360" w:lineRule="auto"/>
        <w:ind w:firstLine="480"/>
        <w:rPr>
          <w:rFonts w:asciiTheme="minorEastAsia" w:hAnsiTheme="minorEastAsia"/>
          <w:sz w:val="24"/>
          <w:szCs w:val="28"/>
          <w:lang w:val="de-DE"/>
        </w:rPr>
      </w:pPr>
      <w:r>
        <w:rPr>
          <w:rFonts w:hint="eastAsia" w:asciiTheme="minorEastAsia" w:hAnsiTheme="minorEastAsia"/>
          <w:sz w:val="24"/>
          <w:szCs w:val="28"/>
          <w:lang w:val="de-DE"/>
        </w:rPr>
        <w:t>（1）标准结构范围</w:t>
      </w:r>
    </w:p>
    <w:p w14:paraId="4F2CBC1D">
      <w:pPr>
        <w:spacing w:line="360" w:lineRule="auto"/>
        <w:ind w:firstLine="480"/>
        <w:rPr>
          <w:rFonts w:asciiTheme="minorEastAsia" w:hAnsiTheme="minorEastAsia"/>
          <w:sz w:val="24"/>
          <w:szCs w:val="28"/>
          <w:lang w:val="de-DE"/>
        </w:rPr>
      </w:pPr>
      <w:r>
        <w:rPr>
          <w:rFonts w:hint="eastAsia" w:asciiTheme="minorEastAsia" w:hAnsiTheme="minorEastAsia"/>
          <w:sz w:val="24"/>
          <w:szCs w:val="28"/>
          <w:lang w:val="de-DE"/>
        </w:rPr>
        <w:t>本标准主要由范围、规范性引用文件、术语和定义、系统功能、系统设计准则、设备设计准则等6个部分组成。</w:t>
      </w:r>
    </w:p>
    <w:p w14:paraId="02398B91">
      <w:pPr>
        <w:spacing w:line="360" w:lineRule="auto"/>
        <w:ind w:firstLine="480"/>
        <w:rPr>
          <w:rFonts w:asciiTheme="minorEastAsia" w:hAnsiTheme="minorEastAsia"/>
          <w:sz w:val="24"/>
          <w:szCs w:val="28"/>
          <w:lang w:val="de-DE"/>
        </w:rPr>
      </w:pPr>
      <w:r>
        <w:rPr>
          <w:rFonts w:hint="eastAsia" w:asciiTheme="minorEastAsia" w:hAnsiTheme="minorEastAsia"/>
          <w:sz w:val="24"/>
          <w:szCs w:val="28"/>
          <w:lang w:val="de-DE"/>
        </w:rPr>
        <w:t>（2）范围</w:t>
      </w:r>
    </w:p>
    <w:p w14:paraId="74ABE3C8">
      <w:pPr>
        <w:spacing w:line="360" w:lineRule="auto"/>
        <w:ind w:firstLine="480"/>
        <w:rPr>
          <w:rFonts w:asciiTheme="minorEastAsia" w:hAnsiTheme="minorEastAsia"/>
          <w:sz w:val="24"/>
          <w:szCs w:val="28"/>
          <w:lang w:val="de-DE"/>
        </w:rPr>
      </w:pPr>
      <w:r>
        <w:rPr>
          <w:rFonts w:hint="eastAsia" w:asciiTheme="minorEastAsia" w:hAnsiTheme="minorEastAsia"/>
          <w:sz w:val="24"/>
          <w:szCs w:val="28"/>
          <w:lang w:val="de-DE"/>
        </w:rPr>
        <w:t>本文件规定了球床式高温气冷堆（下文简称“高温气冷堆”）核动力厂压缩空气系统的设计技术规程。</w:t>
      </w:r>
    </w:p>
    <w:p w14:paraId="014E7303">
      <w:pPr>
        <w:ind w:firstLine="600" w:firstLineChars="250"/>
        <w:rPr>
          <w:rFonts w:asciiTheme="minorEastAsia" w:hAnsiTheme="minorEastAsia"/>
          <w:sz w:val="24"/>
          <w:szCs w:val="28"/>
          <w:lang w:val="de-DE"/>
        </w:rPr>
      </w:pPr>
      <w:r>
        <w:rPr>
          <w:rFonts w:hint="eastAsia" w:asciiTheme="minorEastAsia" w:hAnsiTheme="minorEastAsia"/>
          <w:sz w:val="24"/>
          <w:szCs w:val="28"/>
          <w:lang w:val="de-DE"/>
        </w:rPr>
        <w:t>本文件适用于在建及后续新建高温气冷堆核动力厂压缩空气系统设计，</w:t>
      </w:r>
      <w:r>
        <w:rPr>
          <w:rFonts w:asciiTheme="minorEastAsia" w:hAnsiTheme="minorEastAsia"/>
          <w:sz w:val="24"/>
          <w:szCs w:val="28"/>
          <w:lang w:val="de-DE"/>
        </w:rPr>
        <w:t>其他堆型的核动力厂也可参照执行。</w:t>
      </w:r>
    </w:p>
    <w:p w14:paraId="399EEE2A">
      <w:pPr>
        <w:spacing w:line="360" w:lineRule="auto"/>
        <w:ind w:firstLine="480"/>
        <w:rPr>
          <w:rFonts w:asciiTheme="minorEastAsia" w:hAnsiTheme="minorEastAsia"/>
          <w:sz w:val="24"/>
          <w:szCs w:val="28"/>
          <w:lang w:val="de-DE"/>
        </w:rPr>
      </w:pPr>
      <w:r>
        <w:rPr>
          <w:rFonts w:hint="eastAsia" w:asciiTheme="minorEastAsia" w:hAnsiTheme="minorEastAsia"/>
          <w:sz w:val="24"/>
          <w:szCs w:val="28"/>
          <w:lang w:val="de-DE"/>
        </w:rPr>
        <w:t>（3）规范性引用文件</w:t>
      </w:r>
    </w:p>
    <w:p w14:paraId="2123A451">
      <w:pPr>
        <w:spacing w:line="360" w:lineRule="auto"/>
        <w:ind w:firstLine="480"/>
        <w:rPr>
          <w:rFonts w:asciiTheme="minorEastAsia" w:hAnsiTheme="minorEastAsia"/>
          <w:sz w:val="24"/>
          <w:szCs w:val="28"/>
          <w:lang w:val="de-DE"/>
        </w:rPr>
      </w:pPr>
      <w:r>
        <w:rPr>
          <w:rFonts w:hint="eastAsia" w:asciiTheme="minorEastAsia" w:hAnsiTheme="minorEastAsia"/>
          <w:sz w:val="24"/>
          <w:szCs w:val="28"/>
          <w:lang w:val="de-DE"/>
        </w:rPr>
        <w:t>规范性引用文件按照团体标准的统一导语，并根据被引用标准的情况，对所引用的标准是注日期的引用文件，仅所注日期的版本适用于本文件；凡是不注日期的引用文件，其最新版本（包括所有的修改单）适用于本文件。</w:t>
      </w:r>
    </w:p>
    <w:p w14:paraId="6F637B4F">
      <w:pPr>
        <w:spacing w:line="360" w:lineRule="auto"/>
        <w:ind w:firstLine="480"/>
        <w:rPr>
          <w:rFonts w:asciiTheme="minorEastAsia" w:hAnsiTheme="minorEastAsia"/>
          <w:sz w:val="24"/>
          <w:szCs w:val="28"/>
          <w:lang w:val="de-DE"/>
        </w:rPr>
      </w:pPr>
      <w:r>
        <w:rPr>
          <w:rFonts w:hint="eastAsia" w:asciiTheme="minorEastAsia" w:hAnsiTheme="minorEastAsia"/>
          <w:sz w:val="24"/>
          <w:szCs w:val="28"/>
          <w:lang w:val="de-DE"/>
        </w:rPr>
        <w:t>（4）术语和定义</w:t>
      </w:r>
    </w:p>
    <w:p w14:paraId="567E7544">
      <w:pPr>
        <w:spacing w:line="360" w:lineRule="auto"/>
        <w:ind w:firstLine="480"/>
        <w:rPr>
          <w:rFonts w:asciiTheme="minorEastAsia" w:hAnsiTheme="minorEastAsia"/>
          <w:sz w:val="24"/>
          <w:szCs w:val="28"/>
          <w:lang w:val="de-DE"/>
        </w:rPr>
      </w:pPr>
      <w:r>
        <w:rPr>
          <w:rFonts w:hint="eastAsia" w:asciiTheme="minorEastAsia" w:hAnsiTheme="minorEastAsia"/>
          <w:sz w:val="24"/>
          <w:szCs w:val="28"/>
          <w:lang w:val="de-DE"/>
        </w:rPr>
        <w:t>为了便于使用者阅读和理解，给出了本标准专用名词的解释。</w:t>
      </w:r>
    </w:p>
    <w:p w14:paraId="4C659D60">
      <w:pPr>
        <w:spacing w:line="360" w:lineRule="auto"/>
        <w:ind w:firstLine="480"/>
        <w:rPr>
          <w:rFonts w:asciiTheme="minorEastAsia" w:hAnsiTheme="minorEastAsia"/>
          <w:sz w:val="24"/>
          <w:szCs w:val="28"/>
          <w:lang w:val="de-DE"/>
        </w:rPr>
      </w:pPr>
      <w:r>
        <w:rPr>
          <w:rFonts w:hint="eastAsia" w:asciiTheme="minorEastAsia" w:hAnsiTheme="minorEastAsia"/>
          <w:sz w:val="24"/>
          <w:szCs w:val="28"/>
          <w:lang w:val="de-DE"/>
        </w:rPr>
        <w:t>（5）系统功能</w:t>
      </w:r>
    </w:p>
    <w:p w14:paraId="71534663">
      <w:pPr>
        <w:spacing w:line="360" w:lineRule="auto"/>
        <w:ind w:firstLine="480"/>
        <w:rPr>
          <w:rFonts w:asciiTheme="minorEastAsia" w:hAnsiTheme="minorEastAsia"/>
          <w:sz w:val="24"/>
          <w:szCs w:val="28"/>
          <w:lang w:val="de-DE"/>
        </w:rPr>
      </w:pPr>
      <w:r>
        <w:rPr>
          <w:rFonts w:hint="eastAsia" w:asciiTheme="minorEastAsia" w:hAnsiTheme="minorEastAsia"/>
          <w:sz w:val="24"/>
          <w:szCs w:val="28"/>
          <w:lang w:val="de-DE"/>
        </w:rPr>
        <w:t>本节给出了屏蔽冷却水系统的功能和构成。</w:t>
      </w:r>
    </w:p>
    <w:p w14:paraId="22C02DFE">
      <w:pPr>
        <w:spacing w:line="360" w:lineRule="auto"/>
        <w:ind w:firstLine="480"/>
        <w:rPr>
          <w:rFonts w:asciiTheme="minorEastAsia" w:hAnsiTheme="minorEastAsia"/>
          <w:sz w:val="24"/>
          <w:szCs w:val="28"/>
          <w:lang w:val="de-DE"/>
        </w:rPr>
      </w:pPr>
      <w:r>
        <w:rPr>
          <w:rFonts w:hint="eastAsia" w:asciiTheme="minorEastAsia" w:hAnsiTheme="minorEastAsia"/>
          <w:sz w:val="24"/>
          <w:szCs w:val="28"/>
          <w:lang w:val="de-DE"/>
        </w:rPr>
        <w:t>（6）系统设计准则</w:t>
      </w:r>
    </w:p>
    <w:p w14:paraId="41B11DA6">
      <w:pPr>
        <w:spacing w:line="360" w:lineRule="auto"/>
        <w:ind w:firstLine="480"/>
        <w:rPr>
          <w:rFonts w:asciiTheme="minorEastAsia" w:hAnsiTheme="minorEastAsia"/>
          <w:sz w:val="24"/>
          <w:szCs w:val="28"/>
          <w:lang w:val="de-DE"/>
        </w:rPr>
      </w:pPr>
      <w:r>
        <w:rPr>
          <w:rFonts w:hint="eastAsia" w:asciiTheme="minorEastAsia" w:hAnsiTheme="minorEastAsia"/>
          <w:sz w:val="24"/>
          <w:szCs w:val="28"/>
          <w:lang w:val="de-DE"/>
        </w:rPr>
        <w:t>本节规定了压缩空气系统的设计原则和系统布置要求。系统设计原则参考相关国家能源行业标准，给出了压缩空气生产系统、分配系统及管网的设计准则，明确了压缩空气系统安全分级和压缩空气品质。</w:t>
      </w:r>
    </w:p>
    <w:p w14:paraId="42CB41DF">
      <w:pPr>
        <w:spacing w:line="360" w:lineRule="auto"/>
        <w:ind w:firstLine="480"/>
        <w:rPr>
          <w:rFonts w:asciiTheme="minorEastAsia" w:hAnsiTheme="minorEastAsia"/>
          <w:sz w:val="24"/>
          <w:szCs w:val="28"/>
          <w:lang w:val="de-DE"/>
        </w:rPr>
      </w:pPr>
      <w:r>
        <w:rPr>
          <w:rFonts w:hint="eastAsia" w:asciiTheme="minorEastAsia" w:hAnsiTheme="minorEastAsia"/>
          <w:sz w:val="24"/>
          <w:szCs w:val="28"/>
          <w:lang w:val="de-DE"/>
        </w:rPr>
        <w:t>安全分级中，申明系统整体属非安全级，无抗震要求。压缩空气品质中，给出了压力、露点、含尘颗粒粒径、含尘浓度、含油量以及高压压缩空气的一氧化碳含量。</w:t>
      </w:r>
    </w:p>
    <w:p w14:paraId="0AAAD651">
      <w:pPr>
        <w:spacing w:line="360" w:lineRule="auto"/>
        <w:ind w:firstLine="480"/>
        <w:rPr>
          <w:rFonts w:asciiTheme="minorEastAsia" w:hAnsiTheme="minorEastAsia"/>
          <w:sz w:val="24"/>
          <w:szCs w:val="28"/>
          <w:lang w:val="de-DE"/>
        </w:rPr>
      </w:pPr>
      <w:r>
        <w:rPr>
          <w:rFonts w:hint="eastAsia" w:asciiTheme="minorEastAsia" w:hAnsiTheme="minorEastAsia"/>
          <w:sz w:val="24"/>
          <w:szCs w:val="28"/>
          <w:lang w:val="de-DE"/>
        </w:rPr>
        <w:t>（7）设备设计准则</w:t>
      </w:r>
    </w:p>
    <w:p w14:paraId="56EC8DC8">
      <w:pPr>
        <w:spacing w:line="360" w:lineRule="auto"/>
        <w:ind w:firstLine="480"/>
        <w:rPr>
          <w:rFonts w:asciiTheme="minorEastAsia" w:hAnsiTheme="minorEastAsia"/>
          <w:sz w:val="24"/>
          <w:szCs w:val="28"/>
          <w:lang w:val="de-DE"/>
        </w:rPr>
      </w:pPr>
      <w:r>
        <w:rPr>
          <w:rFonts w:hint="eastAsia" w:asciiTheme="minorEastAsia" w:hAnsiTheme="minorEastAsia"/>
          <w:sz w:val="24"/>
          <w:szCs w:val="28"/>
          <w:lang w:val="de-DE"/>
        </w:rPr>
        <w:t>本节规定了压缩空气系统设备设计准则，包括生产设备、控制装置、储罐、高压压缩空气系统设备的设计准则。</w:t>
      </w:r>
    </w:p>
    <w:p w14:paraId="4C081FE0">
      <w:pPr>
        <w:spacing w:line="360" w:lineRule="auto"/>
        <w:ind w:firstLine="480"/>
        <w:rPr>
          <w:rFonts w:asciiTheme="minorEastAsia" w:hAnsiTheme="minorEastAsia"/>
          <w:sz w:val="24"/>
          <w:szCs w:val="28"/>
          <w:lang w:val="de-DE"/>
        </w:rPr>
      </w:pPr>
      <w:r>
        <w:rPr>
          <w:rFonts w:hint="eastAsia" w:asciiTheme="minorEastAsia" w:hAnsiTheme="minorEastAsia"/>
          <w:sz w:val="24"/>
          <w:szCs w:val="28"/>
          <w:lang w:val="de-DE"/>
        </w:rPr>
        <w:t>生产设备方面，给出了空气压缩机、空气干燥过滤装置、冷却设备的设计要求，以及设备进出口管道布置要点。</w:t>
      </w:r>
    </w:p>
    <w:p w14:paraId="6EBBB5A1">
      <w:pPr>
        <w:spacing w:line="360" w:lineRule="auto"/>
        <w:ind w:firstLine="480"/>
        <w:rPr>
          <w:rFonts w:asciiTheme="minorEastAsia" w:hAnsiTheme="minorEastAsia"/>
          <w:sz w:val="24"/>
          <w:szCs w:val="28"/>
          <w:lang w:val="de-DE"/>
        </w:rPr>
      </w:pPr>
      <w:r>
        <w:rPr>
          <w:rFonts w:hint="eastAsia" w:asciiTheme="minorEastAsia" w:hAnsiTheme="minorEastAsia"/>
          <w:sz w:val="24"/>
          <w:szCs w:val="28"/>
          <w:lang w:val="de-DE"/>
        </w:rPr>
        <w:t>系统控制装置应至少含有设备联锁控制、重要故障报警和信号输出等主要功能。</w:t>
      </w:r>
    </w:p>
    <w:p w14:paraId="3233D8DA">
      <w:pPr>
        <w:spacing w:line="360" w:lineRule="auto"/>
        <w:ind w:firstLine="480"/>
        <w:rPr>
          <w:rFonts w:asciiTheme="minorEastAsia" w:hAnsiTheme="minorEastAsia"/>
          <w:sz w:val="24"/>
          <w:szCs w:val="28"/>
          <w:lang w:val="de-DE"/>
        </w:rPr>
      </w:pPr>
      <w:r>
        <w:rPr>
          <w:rFonts w:hint="eastAsia" w:asciiTheme="minorEastAsia" w:hAnsiTheme="minorEastAsia"/>
          <w:sz w:val="24"/>
          <w:szCs w:val="28"/>
          <w:lang w:val="de-DE"/>
        </w:rPr>
        <w:t>压缩空气系统储罐的设计、制造和试验，应在满足工艺要求的基础上，按照GB 150和TSG R0004的规定执行。</w:t>
      </w:r>
    </w:p>
    <w:p w14:paraId="02030327">
      <w:pPr>
        <w:spacing w:line="360" w:lineRule="auto"/>
        <w:ind w:firstLine="480"/>
        <w:rPr>
          <w:rFonts w:asciiTheme="minorEastAsia" w:hAnsiTheme="minorEastAsia"/>
          <w:sz w:val="24"/>
          <w:szCs w:val="28"/>
          <w:lang w:val="de-DE"/>
        </w:rPr>
      </w:pPr>
      <w:r>
        <w:rPr>
          <w:rFonts w:hint="eastAsia" w:asciiTheme="minorEastAsia" w:hAnsiTheme="minorEastAsia"/>
          <w:sz w:val="24"/>
          <w:szCs w:val="28"/>
          <w:lang w:val="de-DE"/>
        </w:rPr>
        <w:t>高压压缩空气系统的主要设备包括：高压空气压缩机组（含干燥、过滤设备）、高压气瓶以及消防气瓶充气柜。</w:t>
      </w:r>
    </w:p>
    <w:p w14:paraId="025AD923">
      <w:pPr>
        <w:spacing w:before="240" w:line="360" w:lineRule="auto"/>
        <w:ind w:firstLine="480" w:firstLineChars="200"/>
        <w:rPr>
          <w:rFonts w:ascii="黑体" w:hAnsi="黑体" w:eastAsia="黑体"/>
          <w:kern w:val="0"/>
          <w:sz w:val="24"/>
        </w:rPr>
      </w:pPr>
      <w:r>
        <w:rPr>
          <w:rFonts w:hint="eastAsia" w:ascii="黑体" w:hAnsi="黑体" w:eastAsia="黑体"/>
          <w:kern w:val="0"/>
          <w:sz w:val="24"/>
        </w:rPr>
        <w:t>2、修订说明（如修订项目）</w:t>
      </w:r>
    </w:p>
    <w:p w14:paraId="61899AB1">
      <w:pPr>
        <w:spacing w:line="360" w:lineRule="auto"/>
        <w:ind w:firstLine="480"/>
        <w:rPr>
          <w:rFonts w:asciiTheme="minorEastAsia" w:hAnsiTheme="minorEastAsia"/>
          <w:sz w:val="28"/>
        </w:rPr>
      </w:pPr>
      <w:r>
        <w:rPr>
          <w:rFonts w:ascii="Calibri" w:hAnsi="Calibri" w:eastAsia="宋体" w:cs="Times New Roman"/>
          <w:sz w:val="24"/>
        </w:rPr>
        <w:t>修订</w:t>
      </w:r>
      <w:r>
        <w:rPr>
          <w:rFonts w:hint="eastAsia" w:ascii="Calibri" w:hAnsi="Calibri" w:eastAsia="宋体" w:cs="Times New Roman"/>
          <w:sz w:val="24"/>
        </w:rPr>
        <w:t>项目</w:t>
      </w:r>
      <w:r>
        <w:rPr>
          <w:rFonts w:ascii="Calibri" w:hAnsi="Calibri" w:eastAsia="宋体" w:cs="Times New Roman"/>
          <w:sz w:val="24"/>
        </w:rPr>
        <w:t>应列出</w:t>
      </w:r>
      <w:r>
        <w:rPr>
          <w:rFonts w:hint="eastAsia" w:ascii="Calibri" w:hAnsi="Calibri" w:eastAsia="宋体" w:cs="Times New Roman"/>
          <w:sz w:val="24"/>
        </w:rPr>
        <w:t>本标准</w:t>
      </w:r>
      <w:r>
        <w:rPr>
          <w:rFonts w:ascii="Calibri" w:hAnsi="Calibri" w:eastAsia="宋体" w:cs="Times New Roman"/>
          <w:sz w:val="24"/>
        </w:rPr>
        <w:t>与</w:t>
      </w:r>
      <w:r>
        <w:rPr>
          <w:rFonts w:hint="eastAsia" w:ascii="Calibri" w:hAnsi="Calibri" w:eastAsia="宋体" w:cs="Times New Roman"/>
          <w:sz w:val="24"/>
        </w:rPr>
        <w:t>被修订</w:t>
      </w:r>
      <w:r>
        <w:rPr>
          <w:rFonts w:ascii="Calibri" w:hAnsi="Calibri" w:eastAsia="宋体" w:cs="Times New Roman"/>
          <w:sz w:val="24"/>
        </w:rPr>
        <w:t>标准的主要差异和</w:t>
      </w:r>
      <w:r>
        <w:rPr>
          <w:rFonts w:hint="eastAsia" w:ascii="Calibri" w:hAnsi="Calibri" w:eastAsia="宋体" w:cs="Times New Roman"/>
          <w:sz w:val="24"/>
        </w:rPr>
        <w:t>修订</w:t>
      </w:r>
      <w:r>
        <w:rPr>
          <w:rFonts w:ascii="Calibri" w:hAnsi="Calibri" w:eastAsia="宋体" w:cs="Times New Roman"/>
          <w:sz w:val="24"/>
        </w:rPr>
        <w:t>理由</w:t>
      </w:r>
      <w:r>
        <w:rPr>
          <w:rFonts w:hint="eastAsia" w:ascii="Calibri" w:hAnsi="Calibri" w:eastAsia="宋体" w:cs="Times New Roman"/>
          <w:sz w:val="24"/>
        </w:rPr>
        <w:t>。</w:t>
      </w:r>
    </w:p>
    <w:p w14:paraId="79C0E63B">
      <w:pPr>
        <w:numPr>
          <w:ilvl w:val="0"/>
          <w:numId w:val="1"/>
        </w:numPr>
        <w:spacing w:before="240" w:after="240" w:line="360" w:lineRule="auto"/>
        <w:rPr>
          <w:rFonts w:ascii="黑体" w:hAnsi="宋体" w:eastAsia="黑体"/>
          <w:sz w:val="28"/>
          <w:szCs w:val="28"/>
        </w:rPr>
      </w:pPr>
      <w:r>
        <w:rPr>
          <w:rFonts w:hint="eastAsia" w:ascii="黑体" w:hAnsi="宋体" w:eastAsia="黑体"/>
          <w:sz w:val="28"/>
          <w:szCs w:val="28"/>
        </w:rPr>
        <w:t>国内外相关标准现状分析</w:t>
      </w:r>
    </w:p>
    <w:p w14:paraId="35486764">
      <w:pPr>
        <w:spacing w:line="360" w:lineRule="auto"/>
        <w:ind w:firstLine="480"/>
        <w:rPr>
          <w:rFonts w:asciiTheme="minorEastAsia" w:hAnsiTheme="minorEastAsia"/>
          <w:color w:val="auto"/>
          <w:sz w:val="24"/>
          <w:szCs w:val="28"/>
          <w:lang w:val="de-DE"/>
        </w:rPr>
      </w:pPr>
      <w:r>
        <w:rPr>
          <w:rFonts w:hint="eastAsia" w:asciiTheme="minorEastAsia" w:hAnsiTheme="minorEastAsia"/>
          <w:color w:val="auto"/>
          <w:sz w:val="24"/>
          <w:szCs w:val="28"/>
          <w:lang w:val="de-DE"/>
        </w:rPr>
        <w:t>国际原子能机构的安全标准SSR-2/1等为高温气冷堆的设计提供了通用的安全要求和指导；日本原子能协会为商业高温气冷堆的设计制定安全要求草案。但是尚未形成针对高温气冷堆特点的完全成型的压缩空气系统标准化体系。</w:t>
      </w:r>
    </w:p>
    <w:p w14:paraId="0C18C02B">
      <w:pPr>
        <w:spacing w:line="360" w:lineRule="auto"/>
        <w:ind w:firstLine="480"/>
        <w:rPr>
          <w:rFonts w:asciiTheme="minorEastAsia" w:hAnsiTheme="minorEastAsia"/>
          <w:color w:val="auto"/>
          <w:sz w:val="24"/>
          <w:szCs w:val="28"/>
          <w:lang w:val="de-DE"/>
        </w:rPr>
      </w:pPr>
      <w:r>
        <w:rPr>
          <w:rFonts w:hint="eastAsia" w:asciiTheme="minorEastAsia" w:hAnsiTheme="minorEastAsia"/>
          <w:color w:val="auto"/>
          <w:sz w:val="24"/>
          <w:szCs w:val="28"/>
          <w:lang w:val="de-DE"/>
        </w:rPr>
        <w:t>目前国内相关的核电设计标准有NB/T 20179-2012《核电厂压缩空气系统设计准则》、NB/T 20180-2012《核电厂核岛压缩空气供给系统设计准则》和NB/T20474-2017《核电厂控制用气系统设计准则》，上述标准主要针对水堆堆型，并不能完全适用于高温气冷堆，也尚未发现有专门针对高温气冷堆压缩空气系统设计的相关标准体系。</w:t>
      </w:r>
    </w:p>
    <w:p w14:paraId="795446D6">
      <w:pPr>
        <w:numPr>
          <w:ilvl w:val="0"/>
          <w:numId w:val="1"/>
        </w:numPr>
        <w:spacing w:before="240" w:after="240" w:line="360" w:lineRule="auto"/>
        <w:rPr>
          <w:rFonts w:ascii="黑体" w:hAnsi="宋体" w:eastAsia="黑体"/>
          <w:color w:val="auto"/>
          <w:sz w:val="28"/>
          <w:szCs w:val="28"/>
        </w:rPr>
      </w:pPr>
      <w:r>
        <w:rPr>
          <w:rFonts w:hint="eastAsia" w:ascii="黑体" w:hAnsi="宋体" w:eastAsia="黑体"/>
          <w:color w:val="auto"/>
          <w:sz w:val="28"/>
          <w:szCs w:val="28"/>
        </w:rPr>
        <w:t>主要</w:t>
      </w:r>
      <w:r>
        <w:rPr>
          <w:rFonts w:ascii="黑体" w:hAnsi="宋体" w:eastAsia="黑体"/>
          <w:color w:val="auto"/>
          <w:sz w:val="28"/>
          <w:szCs w:val="28"/>
        </w:rPr>
        <w:t>试验验证</w:t>
      </w:r>
      <w:r>
        <w:rPr>
          <w:rFonts w:hint="eastAsia" w:ascii="黑体" w:hAnsi="宋体" w:eastAsia="黑体"/>
          <w:color w:val="auto"/>
          <w:sz w:val="28"/>
          <w:szCs w:val="28"/>
        </w:rPr>
        <w:t>情况和预期达到的效果</w:t>
      </w:r>
    </w:p>
    <w:p w14:paraId="766AFB92">
      <w:pPr>
        <w:spacing w:line="360" w:lineRule="auto"/>
        <w:ind w:firstLine="480"/>
        <w:rPr>
          <w:rFonts w:ascii="Calibri" w:hAnsi="Calibri" w:eastAsia="宋体" w:cs="Times New Roman"/>
          <w:color w:val="auto"/>
          <w:sz w:val="24"/>
        </w:rPr>
      </w:pPr>
      <w:r>
        <w:rPr>
          <w:rFonts w:hint="eastAsia" w:ascii="Calibri" w:hAnsi="Calibri" w:eastAsia="宋体" w:cs="Times New Roman"/>
          <w:color w:val="auto"/>
          <w:sz w:val="24"/>
        </w:rPr>
        <w:t>本标准发布后实施可填补标准空白，建立统一的高温气冷堆压缩空气系统设计规范，解决无标可依的痛点，提升高温气冷堆产业竞争力。</w:t>
      </w:r>
    </w:p>
    <w:p w14:paraId="141BCBBC">
      <w:pPr>
        <w:numPr>
          <w:ilvl w:val="0"/>
          <w:numId w:val="1"/>
        </w:numPr>
        <w:spacing w:before="240" w:after="240" w:line="360" w:lineRule="auto"/>
        <w:rPr>
          <w:rFonts w:ascii="黑体" w:eastAsia="黑体"/>
          <w:sz w:val="28"/>
          <w:szCs w:val="28"/>
        </w:rPr>
      </w:pPr>
      <w:r>
        <w:rPr>
          <w:rFonts w:hint="eastAsia" w:ascii="黑体" w:eastAsia="黑体"/>
          <w:sz w:val="28"/>
          <w:szCs w:val="28"/>
        </w:rPr>
        <w:t>与现行法律、法规、政策及相关标准的协调性</w:t>
      </w:r>
    </w:p>
    <w:p w14:paraId="18A6F20A">
      <w:pPr>
        <w:pStyle w:val="24"/>
        <w:spacing w:line="360" w:lineRule="auto"/>
        <w:ind w:firstLine="480"/>
        <w:rPr>
          <w:rFonts w:ascii="黑体" w:hAnsi="宋体"/>
          <w:sz w:val="24"/>
          <w:szCs w:val="28"/>
          <w:lang w:val="de-DE"/>
        </w:rPr>
      </w:pPr>
      <w:r>
        <w:rPr>
          <w:rFonts w:hint="eastAsia" w:ascii="黑体" w:hAnsi="宋体"/>
          <w:sz w:val="24"/>
          <w:szCs w:val="28"/>
          <w:lang w:val="de-DE"/>
        </w:rPr>
        <w:t>本标准技术内容符合国家核安全技术法规</w:t>
      </w:r>
      <w:r>
        <w:rPr>
          <w:rFonts w:hint="eastAsia" w:ascii="黑体" w:hAnsi="宋体"/>
          <w:sz w:val="24"/>
          <w:szCs w:val="28"/>
        </w:rPr>
        <w:t>及</w:t>
      </w:r>
      <w:r>
        <w:rPr>
          <w:rFonts w:hint="eastAsia" w:ascii="黑体" w:hAnsi="宋体"/>
          <w:sz w:val="24"/>
          <w:szCs w:val="28"/>
          <w:lang w:val="de-DE"/>
        </w:rPr>
        <w:t>导则要求。本标准技术内容</w:t>
      </w:r>
      <w:r>
        <w:rPr>
          <w:rFonts w:hint="eastAsia" w:asciiTheme="minorEastAsia" w:hAnsiTheme="minorEastAsia"/>
          <w:sz w:val="24"/>
          <w:szCs w:val="28"/>
          <w:lang w:val="de-DE"/>
        </w:rPr>
        <w:t>与国家标准G</w:t>
      </w:r>
      <w:r>
        <w:rPr>
          <w:rFonts w:asciiTheme="minorEastAsia" w:hAnsiTheme="minorEastAsia"/>
          <w:sz w:val="24"/>
          <w:szCs w:val="28"/>
          <w:lang w:val="de-DE"/>
        </w:rPr>
        <w:t>B 50029</w:t>
      </w:r>
      <w:r>
        <w:rPr>
          <w:rFonts w:hint="eastAsia" w:asciiTheme="minorEastAsia" w:hAnsiTheme="minorEastAsia"/>
          <w:sz w:val="24"/>
          <w:szCs w:val="28"/>
          <w:lang w:val="de-DE"/>
        </w:rPr>
        <w:t>《压缩空气站设计规范》，行业标准</w:t>
      </w:r>
      <w:r>
        <w:rPr>
          <w:rFonts w:asciiTheme="minorEastAsia" w:hAnsiTheme="minorEastAsia"/>
          <w:sz w:val="24"/>
          <w:szCs w:val="28"/>
          <w:lang w:val="de-DE"/>
        </w:rPr>
        <w:t>NB/T 20179</w:t>
      </w:r>
      <w:r>
        <w:rPr>
          <w:rFonts w:hint="eastAsia" w:asciiTheme="minorEastAsia" w:hAnsiTheme="minorEastAsia"/>
          <w:sz w:val="24"/>
          <w:szCs w:val="28"/>
          <w:lang w:val="de-DE"/>
        </w:rPr>
        <w:t>《核电厂压缩空气系统设计准则》、协调一致</w:t>
      </w:r>
      <w:r>
        <w:rPr>
          <w:rFonts w:hint="eastAsia" w:ascii="黑体" w:hAnsi="宋体"/>
          <w:sz w:val="24"/>
          <w:szCs w:val="28"/>
          <w:lang w:val="de-DE"/>
        </w:rPr>
        <w:t>。</w:t>
      </w:r>
    </w:p>
    <w:p w14:paraId="3E093D75">
      <w:pPr>
        <w:numPr>
          <w:ilvl w:val="0"/>
          <w:numId w:val="1"/>
        </w:numPr>
        <w:spacing w:before="240" w:after="240" w:line="360" w:lineRule="auto"/>
        <w:rPr>
          <w:rFonts w:ascii="黑体" w:eastAsia="黑体"/>
          <w:sz w:val="28"/>
          <w:szCs w:val="28"/>
        </w:rPr>
      </w:pPr>
      <w:r>
        <w:rPr>
          <w:rFonts w:hint="eastAsia" w:ascii="黑体" w:eastAsia="黑体"/>
          <w:sz w:val="28"/>
          <w:szCs w:val="28"/>
        </w:rPr>
        <w:t>贯彻标准的要求和措施建议</w:t>
      </w:r>
    </w:p>
    <w:p w14:paraId="36E4EBAB">
      <w:pPr>
        <w:spacing w:before="240" w:after="240" w:line="360" w:lineRule="auto"/>
        <w:rPr>
          <w:rFonts w:ascii="黑体"/>
          <w:sz w:val="28"/>
          <w:szCs w:val="28"/>
        </w:rPr>
      </w:pPr>
      <w:r>
        <w:rPr>
          <w:rFonts w:hint="eastAsia" w:ascii="黑体" w:eastAsia="黑体"/>
          <w:sz w:val="28"/>
          <w:szCs w:val="28"/>
        </w:rPr>
        <w:t xml:space="preserve">    </w:t>
      </w:r>
      <w:r>
        <w:rPr>
          <w:rFonts w:hint="eastAsia" w:ascii="黑体" w:hAnsi="宋体" w:eastAsia="宋体" w:cs="宋体"/>
          <w:kern w:val="0"/>
          <w:sz w:val="24"/>
          <w:szCs w:val="28"/>
        </w:rPr>
        <w:t>本标准发布</w:t>
      </w:r>
      <w:r>
        <w:rPr>
          <w:rFonts w:hint="eastAsia" w:ascii="黑体" w:hAnsi="宋体" w:eastAsia="宋体" w:cs="宋体"/>
          <w:color w:val="auto"/>
          <w:kern w:val="0"/>
          <w:sz w:val="24"/>
          <w:szCs w:val="28"/>
        </w:rPr>
        <w:t>后，建议高温堆核动力厂等相关设</w:t>
      </w:r>
      <w:r>
        <w:rPr>
          <w:rFonts w:hint="eastAsia" w:ascii="黑体" w:hAnsi="宋体" w:eastAsia="宋体" w:cs="宋体"/>
          <w:kern w:val="0"/>
          <w:sz w:val="24"/>
          <w:szCs w:val="28"/>
        </w:rPr>
        <w:t>计、运营单位采用。本标准发布后立即实施。</w:t>
      </w:r>
    </w:p>
    <w:p w14:paraId="3877FF6A">
      <w:pPr>
        <w:numPr>
          <w:ilvl w:val="0"/>
          <w:numId w:val="1"/>
        </w:numPr>
        <w:spacing w:before="240" w:after="240" w:line="360" w:lineRule="auto"/>
        <w:rPr>
          <w:rFonts w:ascii="黑体" w:eastAsia="黑体"/>
          <w:sz w:val="28"/>
          <w:szCs w:val="28"/>
        </w:rPr>
      </w:pPr>
      <w:r>
        <w:rPr>
          <w:rFonts w:hint="eastAsia" w:ascii="黑体" w:eastAsia="黑体"/>
          <w:sz w:val="28"/>
          <w:szCs w:val="28"/>
        </w:rPr>
        <w:t>重大分歧意见的处理经过和依据</w:t>
      </w:r>
    </w:p>
    <w:p w14:paraId="0AFAEDCB">
      <w:pPr>
        <w:pStyle w:val="24"/>
        <w:spacing w:line="360" w:lineRule="auto"/>
        <w:ind w:firstLine="480"/>
        <w:rPr>
          <w:rFonts w:ascii="黑体" w:hAnsi="宋体"/>
          <w:sz w:val="24"/>
          <w:szCs w:val="28"/>
          <w:lang w:val="de-DE"/>
        </w:rPr>
      </w:pPr>
      <w:r>
        <w:rPr>
          <w:rFonts w:hint="eastAsia" w:ascii="黑体" w:hAnsi="宋体"/>
          <w:sz w:val="24"/>
          <w:szCs w:val="28"/>
          <w:lang w:val="de-DE"/>
        </w:rPr>
        <w:t>本标准起草过程中无重大分歧意见。</w:t>
      </w:r>
    </w:p>
    <w:p w14:paraId="02813390">
      <w:pPr>
        <w:numPr>
          <w:ilvl w:val="0"/>
          <w:numId w:val="1"/>
        </w:numPr>
        <w:spacing w:before="240" w:after="240" w:line="360" w:lineRule="auto"/>
        <w:rPr>
          <w:rFonts w:ascii="黑体" w:eastAsia="黑体"/>
          <w:sz w:val="28"/>
          <w:szCs w:val="28"/>
        </w:rPr>
      </w:pPr>
      <w:r>
        <w:rPr>
          <w:rFonts w:hint="eastAsia" w:ascii="黑体" w:eastAsia="黑体"/>
          <w:sz w:val="28"/>
          <w:szCs w:val="28"/>
        </w:rPr>
        <w:t>涉及专利的有关说明</w:t>
      </w:r>
    </w:p>
    <w:p w14:paraId="2AD1212B">
      <w:pPr>
        <w:pStyle w:val="24"/>
        <w:spacing w:line="360" w:lineRule="auto"/>
        <w:ind w:firstLine="480"/>
        <w:rPr>
          <w:rFonts w:ascii="黑体" w:hAnsi="宋体"/>
          <w:sz w:val="24"/>
          <w:szCs w:val="28"/>
          <w:lang w:val="de-DE"/>
        </w:rPr>
      </w:pPr>
      <w:r>
        <w:rPr>
          <w:rFonts w:hint="eastAsia" w:ascii="黑体" w:hAnsi="宋体"/>
          <w:sz w:val="24"/>
          <w:szCs w:val="28"/>
          <w:lang w:val="de-DE"/>
        </w:rPr>
        <w:t>本标准不涉及专利。</w:t>
      </w:r>
    </w:p>
    <w:p w14:paraId="6A0ABF21">
      <w:pPr>
        <w:numPr>
          <w:ilvl w:val="0"/>
          <w:numId w:val="1"/>
        </w:numPr>
        <w:spacing w:before="240" w:after="240" w:line="360" w:lineRule="auto"/>
        <w:rPr>
          <w:rFonts w:ascii="黑体" w:eastAsia="黑体"/>
          <w:sz w:val="28"/>
          <w:szCs w:val="28"/>
        </w:rPr>
      </w:pPr>
      <w:r>
        <w:rPr>
          <w:rFonts w:ascii="黑体" w:eastAsia="黑体"/>
          <w:sz w:val="28"/>
          <w:szCs w:val="28"/>
        </w:rPr>
        <w:t>其它事项</w:t>
      </w:r>
    </w:p>
    <w:p w14:paraId="02EED62F">
      <w:pPr>
        <w:spacing w:line="360" w:lineRule="auto"/>
        <w:ind w:firstLine="480" w:firstLineChars="200"/>
        <w:rPr>
          <w:rFonts w:ascii="黑体" w:eastAsia="黑体"/>
          <w:sz w:val="28"/>
          <w:szCs w:val="28"/>
        </w:rPr>
      </w:pPr>
      <w:r>
        <w:rPr>
          <w:rFonts w:hint="eastAsia"/>
          <w:sz w:val="24"/>
        </w:rPr>
        <w:t>无/调整申请等情况</w:t>
      </w:r>
      <w:r>
        <w:rPr>
          <w:rFonts w:hint="eastAsia" w:ascii="黑体" w:hAnsi="宋体"/>
          <w:sz w:val="24"/>
          <w:szCs w:val="28"/>
          <w:lang w:val="de-DE"/>
        </w:rPr>
        <w:t>。</w:t>
      </w:r>
    </w:p>
    <w:sectPr>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0EBDC0">
    <w:pPr>
      <w:pStyle w:val="8"/>
      <w:jc w:val="center"/>
    </w:pPr>
  </w:p>
  <w:p w14:paraId="37352674">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00474950"/>
    </w:sdtPr>
    <w:sdtEndPr>
      <w:rPr>
        <w:rFonts w:asciiTheme="minorEastAsia" w:hAnsiTheme="minorEastAsia"/>
        <w:sz w:val="21"/>
        <w:szCs w:val="21"/>
      </w:rPr>
    </w:sdtEndPr>
    <w:sdtContent>
      <w:p w14:paraId="2D70635B">
        <w:pPr>
          <w:pStyle w:val="8"/>
          <w:jc w:val="center"/>
          <w:rPr>
            <w:rFonts w:asciiTheme="minorEastAsia" w:hAnsiTheme="minorEastAsia"/>
            <w:sz w:val="21"/>
            <w:szCs w:val="21"/>
          </w:rPr>
        </w:pPr>
        <w:r>
          <w:rPr>
            <w:rFonts w:asciiTheme="minorEastAsia" w:hAnsiTheme="minorEastAsia"/>
            <w:sz w:val="21"/>
            <w:szCs w:val="21"/>
          </w:rPr>
          <w:fldChar w:fldCharType="begin"/>
        </w:r>
        <w:r>
          <w:rPr>
            <w:rFonts w:asciiTheme="minorEastAsia" w:hAnsiTheme="minorEastAsia"/>
            <w:sz w:val="21"/>
            <w:szCs w:val="21"/>
          </w:rPr>
          <w:instrText xml:space="preserve">PAGE   \* MERGEFORMAT</w:instrText>
        </w:r>
        <w:r>
          <w:rPr>
            <w:rFonts w:asciiTheme="minorEastAsia" w:hAnsiTheme="minorEastAsia"/>
            <w:sz w:val="21"/>
            <w:szCs w:val="21"/>
          </w:rPr>
          <w:fldChar w:fldCharType="separate"/>
        </w:r>
        <w:r>
          <w:rPr>
            <w:rFonts w:asciiTheme="minorEastAsia" w:hAnsiTheme="minorEastAsia"/>
            <w:sz w:val="21"/>
            <w:szCs w:val="21"/>
            <w:lang w:val="zh-CN"/>
          </w:rPr>
          <w:t>3</w:t>
        </w:r>
        <w:r>
          <w:rPr>
            <w:rFonts w:asciiTheme="minorEastAsia" w:hAnsiTheme="minorEastAsia"/>
            <w:sz w:val="21"/>
            <w:szCs w:val="21"/>
          </w:rPr>
          <w:fldChar w:fldCharType="end"/>
        </w:r>
      </w:p>
    </w:sdtContent>
  </w:sdt>
  <w:p w14:paraId="1793BE58">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4E3D38"/>
    <w:multiLevelType w:val="multilevel"/>
    <w:tmpl w:val="2D4E3D38"/>
    <w:lvl w:ilvl="0" w:tentative="0">
      <w:start w:val="1"/>
      <w:numFmt w:val="japaneseCounting"/>
      <w:lvlText w:val="%1、"/>
      <w:lvlJc w:val="left"/>
      <w:pPr>
        <w:tabs>
          <w:tab w:val="left" w:pos="720"/>
        </w:tabs>
        <w:ind w:left="720" w:hanging="720"/>
      </w:pPr>
      <w:rPr>
        <w:rFonts w:hint="eastAsia"/>
        <w:sz w:val="28"/>
        <w:szCs w:val="28"/>
      </w:rPr>
    </w:lvl>
    <w:lvl w:ilvl="1" w:tentative="0">
      <w:start w:val="1"/>
      <w:numFmt w:val="decimal"/>
      <w:lvlText w:val="%2."/>
      <w:lvlJc w:val="left"/>
      <w:pPr>
        <w:tabs>
          <w:tab w:val="left" w:pos="840"/>
        </w:tabs>
        <w:ind w:left="840" w:hanging="42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D6A"/>
    <w:rsid w:val="0001035E"/>
    <w:rsid w:val="00020F20"/>
    <w:rsid w:val="00032502"/>
    <w:rsid w:val="000352E2"/>
    <w:rsid w:val="00036EF6"/>
    <w:rsid w:val="00053FEC"/>
    <w:rsid w:val="000557C9"/>
    <w:rsid w:val="0006333A"/>
    <w:rsid w:val="0006411B"/>
    <w:rsid w:val="0006596B"/>
    <w:rsid w:val="00066DB3"/>
    <w:rsid w:val="0008573B"/>
    <w:rsid w:val="00087647"/>
    <w:rsid w:val="00091E9C"/>
    <w:rsid w:val="000A366A"/>
    <w:rsid w:val="000B61B2"/>
    <w:rsid w:val="000B7450"/>
    <w:rsid w:val="000E4C1C"/>
    <w:rsid w:val="000E59E1"/>
    <w:rsid w:val="000E6B69"/>
    <w:rsid w:val="000F2FED"/>
    <w:rsid w:val="001205CD"/>
    <w:rsid w:val="00120BF8"/>
    <w:rsid w:val="00135FE4"/>
    <w:rsid w:val="00162AC3"/>
    <w:rsid w:val="00162C31"/>
    <w:rsid w:val="001662F4"/>
    <w:rsid w:val="00171731"/>
    <w:rsid w:val="001812A7"/>
    <w:rsid w:val="0018410B"/>
    <w:rsid w:val="001860EB"/>
    <w:rsid w:val="0018750C"/>
    <w:rsid w:val="001A04B6"/>
    <w:rsid w:val="001A2338"/>
    <w:rsid w:val="001C3A26"/>
    <w:rsid w:val="001C4ED9"/>
    <w:rsid w:val="001D1932"/>
    <w:rsid w:val="001D1C95"/>
    <w:rsid w:val="001D53B0"/>
    <w:rsid w:val="001D5C80"/>
    <w:rsid w:val="001D7C70"/>
    <w:rsid w:val="001F293A"/>
    <w:rsid w:val="001F3979"/>
    <w:rsid w:val="001F78E8"/>
    <w:rsid w:val="00205779"/>
    <w:rsid w:val="002248E2"/>
    <w:rsid w:val="00230930"/>
    <w:rsid w:val="00231B37"/>
    <w:rsid w:val="0023271D"/>
    <w:rsid w:val="00255933"/>
    <w:rsid w:val="0026281F"/>
    <w:rsid w:val="00262F65"/>
    <w:rsid w:val="00263F77"/>
    <w:rsid w:val="00264F22"/>
    <w:rsid w:val="00271E11"/>
    <w:rsid w:val="00272FB6"/>
    <w:rsid w:val="00277521"/>
    <w:rsid w:val="002837DD"/>
    <w:rsid w:val="002946D4"/>
    <w:rsid w:val="002A3631"/>
    <w:rsid w:val="002B4EF8"/>
    <w:rsid w:val="002C70FD"/>
    <w:rsid w:val="002E7FC9"/>
    <w:rsid w:val="002F19CD"/>
    <w:rsid w:val="003023D6"/>
    <w:rsid w:val="003054DF"/>
    <w:rsid w:val="00347448"/>
    <w:rsid w:val="003477F4"/>
    <w:rsid w:val="00360720"/>
    <w:rsid w:val="00360880"/>
    <w:rsid w:val="00363508"/>
    <w:rsid w:val="0036585E"/>
    <w:rsid w:val="003727D5"/>
    <w:rsid w:val="00374640"/>
    <w:rsid w:val="00376793"/>
    <w:rsid w:val="00377A70"/>
    <w:rsid w:val="00380A66"/>
    <w:rsid w:val="00384434"/>
    <w:rsid w:val="0039353C"/>
    <w:rsid w:val="00397253"/>
    <w:rsid w:val="003A7847"/>
    <w:rsid w:val="003C1750"/>
    <w:rsid w:val="003D5D6A"/>
    <w:rsid w:val="003D6964"/>
    <w:rsid w:val="003D73E7"/>
    <w:rsid w:val="003E0D1B"/>
    <w:rsid w:val="003F4F38"/>
    <w:rsid w:val="00403EC3"/>
    <w:rsid w:val="0041093F"/>
    <w:rsid w:val="0041513D"/>
    <w:rsid w:val="00421780"/>
    <w:rsid w:val="00434B44"/>
    <w:rsid w:val="004351D2"/>
    <w:rsid w:val="004570FA"/>
    <w:rsid w:val="004629BF"/>
    <w:rsid w:val="004818B1"/>
    <w:rsid w:val="00482C0B"/>
    <w:rsid w:val="00487D8A"/>
    <w:rsid w:val="0049012E"/>
    <w:rsid w:val="00493B74"/>
    <w:rsid w:val="0049416F"/>
    <w:rsid w:val="00494F73"/>
    <w:rsid w:val="004958A7"/>
    <w:rsid w:val="004A39CA"/>
    <w:rsid w:val="004B012F"/>
    <w:rsid w:val="004B1ED8"/>
    <w:rsid w:val="004C1E82"/>
    <w:rsid w:val="004D5C7C"/>
    <w:rsid w:val="004E1878"/>
    <w:rsid w:val="00501090"/>
    <w:rsid w:val="00510B30"/>
    <w:rsid w:val="00535B6B"/>
    <w:rsid w:val="00565379"/>
    <w:rsid w:val="00577081"/>
    <w:rsid w:val="00583F07"/>
    <w:rsid w:val="00592463"/>
    <w:rsid w:val="00593417"/>
    <w:rsid w:val="005C060A"/>
    <w:rsid w:val="005D2B6F"/>
    <w:rsid w:val="005D459D"/>
    <w:rsid w:val="005E7DA2"/>
    <w:rsid w:val="005F1089"/>
    <w:rsid w:val="005F324A"/>
    <w:rsid w:val="006015F7"/>
    <w:rsid w:val="00604D60"/>
    <w:rsid w:val="00624A40"/>
    <w:rsid w:val="00641649"/>
    <w:rsid w:val="00656297"/>
    <w:rsid w:val="006807F9"/>
    <w:rsid w:val="006842A7"/>
    <w:rsid w:val="0069218C"/>
    <w:rsid w:val="006A2C31"/>
    <w:rsid w:val="006A3ED7"/>
    <w:rsid w:val="006A5A31"/>
    <w:rsid w:val="006B0792"/>
    <w:rsid w:val="006C67AB"/>
    <w:rsid w:val="006D2527"/>
    <w:rsid w:val="006D2A2A"/>
    <w:rsid w:val="006D654C"/>
    <w:rsid w:val="006E39BB"/>
    <w:rsid w:val="006F71DF"/>
    <w:rsid w:val="00712EE9"/>
    <w:rsid w:val="00726B81"/>
    <w:rsid w:val="00736C18"/>
    <w:rsid w:val="0073764F"/>
    <w:rsid w:val="00737BD6"/>
    <w:rsid w:val="00741DD1"/>
    <w:rsid w:val="00762A7F"/>
    <w:rsid w:val="007640A6"/>
    <w:rsid w:val="00765F81"/>
    <w:rsid w:val="0078206C"/>
    <w:rsid w:val="007823B4"/>
    <w:rsid w:val="007945C1"/>
    <w:rsid w:val="007C6FFA"/>
    <w:rsid w:val="007D0BB7"/>
    <w:rsid w:val="008049C5"/>
    <w:rsid w:val="00822669"/>
    <w:rsid w:val="0082296F"/>
    <w:rsid w:val="008272B6"/>
    <w:rsid w:val="00830678"/>
    <w:rsid w:val="00832DCD"/>
    <w:rsid w:val="00835C39"/>
    <w:rsid w:val="00841E8E"/>
    <w:rsid w:val="0085031C"/>
    <w:rsid w:val="00860227"/>
    <w:rsid w:val="0086037C"/>
    <w:rsid w:val="00861D8F"/>
    <w:rsid w:val="00867077"/>
    <w:rsid w:val="0087331D"/>
    <w:rsid w:val="00885B3F"/>
    <w:rsid w:val="008948AF"/>
    <w:rsid w:val="00897716"/>
    <w:rsid w:val="008B4DE0"/>
    <w:rsid w:val="008B7981"/>
    <w:rsid w:val="008C08D5"/>
    <w:rsid w:val="008C15E6"/>
    <w:rsid w:val="008C1B69"/>
    <w:rsid w:val="008D2FD7"/>
    <w:rsid w:val="008D5EBD"/>
    <w:rsid w:val="008D5EDF"/>
    <w:rsid w:val="008E636A"/>
    <w:rsid w:val="00911329"/>
    <w:rsid w:val="0092701B"/>
    <w:rsid w:val="00930ED7"/>
    <w:rsid w:val="00943FCA"/>
    <w:rsid w:val="00944650"/>
    <w:rsid w:val="00946F21"/>
    <w:rsid w:val="00953C06"/>
    <w:rsid w:val="009656CB"/>
    <w:rsid w:val="009666A8"/>
    <w:rsid w:val="0096672D"/>
    <w:rsid w:val="00974766"/>
    <w:rsid w:val="00991817"/>
    <w:rsid w:val="009A07E0"/>
    <w:rsid w:val="009A3084"/>
    <w:rsid w:val="009A3AEB"/>
    <w:rsid w:val="009C2184"/>
    <w:rsid w:val="009D5501"/>
    <w:rsid w:val="009E1897"/>
    <w:rsid w:val="009F192C"/>
    <w:rsid w:val="00A02C1A"/>
    <w:rsid w:val="00A036B1"/>
    <w:rsid w:val="00A1629E"/>
    <w:rsid w:val="00A23528"/>
    <w:rsid w:val="00A332CC"/>
    <w:rsid w:val="00A3410F"/>
    <w:rsid w:val="00A41EDF"/>
    <w:rsid w:val="00A44560"/>
    <w:rsid w:val="00A454E1"/>
    <w:rsid w:val="00A513CB"/>
    <w:rsid w:val="00A52E1A"/>
    <w:rsid w:val="00A539F9"/>
    <w:rsid w:val="00A80789"/>
    <w:rsid w:val="00A85ED0"/>
    <w:rsid w:val="00A94B8A"/>
    <w:rsid w:val="00AA0012"/>
    <w:rsid w:val="00AA1D40"/>
    <w:rsid w:val="00AA7212"/>
    <w:rsid w:val="00AB1BC4"/>
    <w:rsid w:val="00AB4FC7"/>
    <w:rsid w:val="00AB7EB3"/>
    <w:rsid w:val="00AC47CA"/>
    <w:rsid w:val="00AC4B54"/>
    <w:rsid w:val="00AC6EC0"/>
    <w:rsid w:val="00AD1385"/>
    <w:rsid w:val="00AD342B"/>
    <w:rsid w:val="00AD4BFC"/>
    <w:rsid w:val="00AE2E13"/>
    <w:rsid w:val="00B1176B"/>
    <w:rsid w:val="00B27905"/>
    <w:rsid w:val="00B349BD"/>
    <w:rsid w:val="00B43477"/>
    <w:rsid w:val="00B464BF"/>
    <w:rsid w:val="00B46840"/>
    <w:rsid w:val="00B565BB"/>
    <w:rsid w:val="00B66BA8"/>
    <w:rsid w:val="00B67AB9"/>
    <w:rsid w:val="00B75C75"/>
    <w:rsid w:val="00B76837"/>
    <w:rsid w:val="00B80B98"/>
    <w:rsid w:val="00B8130D"/>
    <w:rsid w:val="00B833F4"/>
    <w:rsid w:val="00B86AC2"/>
    <w:rsid w:val="00B87C55"/>
    <w:rsid w:val="00B90D7E"/>
    <w:rsid w:val="00B93504"/>
    <w:rsid w:val="00B94209"/>
    <w:rsid w:val="00B9759F"/>
    <w:rsid w:val="00BA5C3D"/>
    <w:rsid w:val="00BB232B"/>
    <w:rsid w:val="00BB5C26"/>
    <w:rsid w:val="00BB5CE5"/>
    <w:rsid w:val="00BE5AE0"/>
    <w:rsid w:val="00BF3CE3"/>
    <w:rsid w:val="00BF53A9"/>
    <w:rsid w:val="00C10AE7"/>
    <w:rsid w:val="00C158DF"/>
    <w:rsid w:val="00C37E1D"/>
    <w:rsid w:val="00C37F78"/>
    <w:rsid w:val="00C41451"/>
    <w:rsid w:val="00C578BA"/>
    <w:rsid w:val="00C632FF"/>
    <w:rsid w:val="00C70CFC"/>
    <w:rsid w:val="00C82498"/>
    <w:rsid w:val="00CA1A9A"/>
    <w:rsid w:val="00CB4F95"/>
    <w:rsid w:val="00CC5982"/>
    <w:rsid w:val="00CE2AB8"/>
    <w:rsid w:val="00CE54C8"/>
    <w:rsid w:val="00CE77B0"/>
    <w:rsid w:val="00CF1162"/>
    <w:rsid w:val="00D04AF0"/>
    <w:rsid w:val="00D12DB6"/>
    <w:rsid w:val="00D377FB"/>
    <w:rsid w:val="00D82D77"/>
    <w:rsid w:val="00D86897"/>
    <w:rsid w:val="00D90C74"/>
    <w:rsid w:val="00D951DC"/>
    <w:rsid w:val="00DA0699"/>
    <w:rsid w:val="00DA0763"/>
    <w:rsid w:val="00DC337B"/>
    <w:rsid w:val="00DD3CF8"/>
    <w:rsid w:val="00DD4EE0"/>
    <w:rsid w:val="00DE1542"/>
    <w:rsid w:val="00DE6559"/>
    <w:rsid w:val="00E05368"/>
    <w:rsid w:val="00E10B69"/>
    <w:rsid w:val="00E360CB"/>
    <w:rsid w:val="00E36FC3"/>
    <w:rsid w:val="00E76A7B"/>
    <w:rsid w:val="00E90100"/>
    <w:rsid w:val="00E9625E"/>
    <w:rsid w:val="00EA4970"/>
    <w:rsid w:val="00EB3A01"/>
    <w:rsid w:val="00EE2FA1"/>
    <w:rsid w:val="00EE5E5C"/>
    <w:rsid w:val="00EF1882"/>
    <w:rsid w:val="00EF4C74"/>
    <w:rsid w:val="00F11468"/>
    <w:rsid w:val="00F147EB"/>
    <w:rsid w:val="00F17050"/>
    <w:rsid w:val="00F30D51"/>
    <w:rsid w:val="00F35566"/>
    <w:rsid w:val="00F35DF2"/>
    <w:rsid w:val="00F3622B"/>
    <w:rsid w:val="00F424E8"/>
    <w:rsid w:val="00F45DC7"/>
    <w:rsid w:val="00F605AE"/>
    <w:rsid w:val="00F67197"/>
    <w:rsid w:val="00F705C5"/>
    <w:rsid w:val="00F83F5F"/>
    <w:rsid w:val="00F90CC9"/>
    <w:rsid w:val="00F915CB"/>
    <w:rsid w:val="00F95E18"/>
    <w:rsid w:val="00FA44BA"/>
    <w:rsid w:val="00FA6510"/>
    <w:rsid w:val="00FC3B05"/>
    <w:rsid w:val="00FD2C1D"/>
    <w:rsid w:val="00FD3AE3"/>
    <w:rsid w:val="00FE741B"/>
    <w:rsid w:val="04354463"/>
    <w:rsid w:val="099044F7"/>
    <w:rsid w:val="2C041C52"/>
    <w:rsid w:val="401C0E4D"/>
    <w:rsid w:val="465F41FD"/>
    <w:rsid w:val="5B9067AF"/>
    <w:rsid w:val="67227455"/>
    <w:rsid w:val="7C7750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1"/>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3"/>
    <w:unhideWhenUsed/>
    <w:qFormat/>
    <w:uiPriority w:val="9"/>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5">
    <w:name w:val="annotation text"/>
    <w:basedOn w:val="1"/>
    <w:link w:val="29"/>
    <w:semiHidden/>
    <w:unhideWhenUsed/>
    <w:qFormat/>
    <w:uiPriority w:val="99"/>
    <w:pPr>
      <w:jc w:val="left"/>
    </w:pPr>
  </w:style>
  <w:style w:type="paragraph" w:styleId="6">
    <w:name w:val="Body Text"/>
    <w:basedOn w:val="1"/>
    <w:link w:val="31"/>
    <w:qFormat/>
    <w:uiPriority w:val="1"/>
    <w:pPr>
      <w:autoSpaceDE w:val="0"/>
      <w:autoSpaceDN w:val="0"/>
      <w:jc w:val="left"/>
    </w:pPr>
    <w:rPr>
      <w:rFonts w:ascii="宋体" w:hAnsi="宋体" w:eastAsia="宋体" w:cs="宋体"/>
      <w:kern w:val="0"/>
      <w:sz w:val="32"/>
      <w:szCs w:val="32"/>
      <w:lang w:eastAsia="en-US"/>
    </w:rPr>
  </w:style>
  <w:style w:type="paragraph" w:styleId="7">
    <w:name w:val="Balloon Text"/>
    <w:basedOn w:val="1"/>
    <w:link w:val="27"/>
    <w:semiHidden/>
    <w:unhideWhenUsed/>
    <w:qFormat/>
    <w:uiPriority w:val="99"/>
    <w:rPr>
      <w:sz w:val="18"/>
      <w:szCs w:val="18"/>
    </w:rPr>
  </w:style>
  <w:style w:type="paragraph" w:styleId="8">
    <w:name w:val="footer"/>
    <w:basedOn w:val="1"/>
    <w:link w:val="19"/>
    <w:unhideWhenUsed/>
    <w:qFormat/>
    <w:uiPriority w:val="99"/>
    <w:pPr>
      <w:tabs>
        <w:tab w:val="center" w:pos="4153"/>
        <w:tab w:val="right" w:pos="8306"/>
      </w:tabs>
      <w:snapToGrid w:val="0"/>
      <w:jc w:val="left"/>
    </w:pPr>
    <w:rPr>
      <w:sz w:val="18"/>
      <w:szCs w:val="18"/>
    </w:rPr>
  </w:style>
  <w:style w:type="paragraph" w:styleId="9">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link w:val="28"/>
    <w:semiHidden/>
    <w:unhideWhenUsed/>
    <w:qFormat/>
    <w:uiPriority w:val="99"/>
    <w:pPr>
      <w:snapToGrid w:val="0"/>
      <w:jc w:val="left"/>
    </w:pPr>
    <w:rPr>
      <w:sz w:val="18"/>
      <w:szCs w:val="18"/>
    </w:rPr>
  </w:style>
  <w:style w:type="paragraph" w:styleId="11">
    <w:name w:val="Title"/>
    <w:basedOn w:val="1"/>
    <w:next w:val="1"/>
    <w:link w:val="30"/>
    <w:qFormat/>
    <w:uiPriority w:val="10"/>
    <w:pPr>
      <w:spacing w:before="240" w:after="60"/>
      <w:jc w:val="center"/>
      <w:outlineLvl w:val="0"/>
    </w:pPr>
    <w:rPr>
      <w:rFonts w:eastAsia="宋体" w:asciiTheme="majorHAnsi" w:hAnsiTheme="majorHAnsi" w:cstheme="majorBidi"/>
      <w:b/>
      <w:bCs/>
      <w:sz w:val="32"/>
      <w:szCs w:val="32"/>
    </w:rPr>
  </w:style>
  <w:style w:type="table" w:styleId="13">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99"/>
  </w:style>
  <w:style w:type="character" w:styleId="16">
    <w:name w:val="annotation reference"/>
    <w:basedOn w:val="14"/>
    <w:semiHidden/>
    <w:unhideWhenUsed/>
    <w:qFormat/>
    <w:uiPriority w:val="99"/>
    <w:rPr>
      <w:sz w:val="21"/>
      <w:szCs w:val="21"/>
    </w:rPr>
  </w:style>
  <w:style w:type="character" w:styleId="17">
    <w:name w:val="footnote reference"/>
    <w:basedOn w:val="14"/>
    <w:semiHidden/>
    <w:unhideWhenUsed/>
    <w:qFormat/>
    <w:uiPriority w:val="99"/>
    <w:rPr>
      <w:vertAlign w:val="superscript"/>
    </w:rPr>
  </w:style>
  <w:style w:type="character" w:customStyle="1" w:styleId="18">
    <w:name w:val="页眉 Char"/>
    <w:basedOn w:val="14"/>
    <w:link w:val="9"/>
    <w:qFormat/>
    <w:uiPriority w:val="99"/>
    <w:rPr>
      <w:sz w:val="18"/>
      <w:szCs w:val="18"/>
    </w:rPr>
  </w:style>
  <w:style w:type="character" w:customStyle="1" w:styleId="19">
    <w:name w:val="页脚 Char"/>
    <w:basedOn w:val="14"/>
    <w:link w:val="8"/>
    <w:qFormat/>
    <w:uiPriority w:val="99"/>
    <w:rPr>
      <w:sz w:val="18"/>
      <w:szCs w:val="18"/>
    </w:rPr>
  </w:style>
  <w:style w:type="paragraph" w:styleId="20">
    <w:name w:val="List Paragraph"/>
    <w:basedOn w:val="1"/>
    <w:qFormat/>
    <w:uiPriority w:val="34"/>
    <w:pPr>
      <w:ind w:firstLine="420" w:firstLineChars="200"/>
    </w:pPr>
  </w:style>
  <w:style w:type="character" w:customStyle="1" w:styleId="21">
    <w:name w:val="标题 1 Char"/>
    <w:basedOn w:val="14"/>
    <w:link w:val="2"/>
    <w:qFormat/>
    <w:uiPriority w:val="9"/>
    <w:rPr>
      <w:b/>
      <w:bCs/>
      <w:kern w:val="44"/>
      <w:sz w:val="44"/>
      <w:szCs w:val="44"/>
    </w:rPr>
  </w:style>
  <w:style w:type="character" w:customStyle="1" w:styleId="22">
    <w:name w:val="标题 2 Char"/>
    <w:basedOn w:val="14"/>
    <w:link w:val="3"/>
    <w:qFormat/>
    <w:uiPriority w:val="9"/>
    <w:rPr>
      <w:rFonts w:asciiTheme="majorHAnsi" w:hAnsiTheme="majorHAnsi" w:eastAsiaTheme="majorEastAsia" w:cstheme="majorBidi"/>
      <w:b/>
      <w:bCs/>
      <w:sz w:val="32"/>
      <w:szCs w:val="32"/>
    </w:rPr>
  </w:style>
  <w:style w:type="character" w:customStyle="1" w:styleId="23">
    <w:name w:val="标题 3 Char"/>
    <w:basedOn w:val="14"/>
    <w:link w:val="4"/>
    <w:qFormat/>
    <w:uiPriority w:val="9"/>
    <w:rPr>
      <w:b/>
      <w:bCs/>
      <w:sz w:val="32"/>
      <w:szCs w:val="32"/>
    </w:rPr>
  </w:style>
  <w:style w:type="paragraph" w:customStyle="1" w:styleId="24">
    <w:name w:val="段"/>
    <w:link w:val="25"/>
    <w:qFormat/>
    <w:uiPriority w:val="99"/>
    <w:pPr>
      <w:tabs>
        <w:tab w:val="center" w:pos="4201"/>
        <w:tab w:val="right" w:leader="dot" w:pos="9298"/>
      </w:tabs>
      <w:autoSpaceDE w:val="0"/>
      <w:autoSpaceDN w:val="0"/>
      <w:ind w:firstLine="420" w:firstLineChars="200"/>
      <w:jc w:val="both"/>
    </w:pPr>
    <w:rPr>
      <w:rFonts w:ascii="宋体" w:hAnsi="Times New Roman" w:eastAsia="宋体" w:cs="宋体"/>
      <w:sz w:val="21"/>
      <w:szCs w:val="21"/>
      <w:lang w:val="en-US" w:eastAsia="zh-CN" w:bidi="ar-SA"/>
    </w:rPr>
  </w:style>
  <w:style w:type="character" w:customStyle="1" w:styleId="25">
    <w:name w:val="段 Char"/>
    <w:basedOn w:val="14"/>
    <w:link w:val="24"/>
    <w:qFormat/>
    <w:locked/>
    <w:uiPriority w:val="99"/>
    <w:rPr>
      <w:rFonts w:ascii="宋体" w:hAnsi="Times New Roman" w:eastAsia="宋体" w:cs="宋体"/>
      <w:kern w:val="0"/>
      <w:szCs w:val="21"/>
    </w:rPr>
  </w:style>
  <w:style w:type="paragraph" w:customStyle="1" w:styleId="26">
    <w:name w:val="CM49"/>
    <w:basedOn w:val="1"/>
    <w:next w:val="1"/>
    <w:qFormat/>
    <w:uiPriority w:val="0"/>
    <w:pPr>
      <w:autoSpaceDE w:val="0"/>
      <w:autoSpaceDN w:val="0"/>
      <w:adjustRightInd w:val="0"/>
      <w:spacing w:after="305"/>
      <w:jc w:val="left"/>
    </w:pPr>
    <w:rPr>
      <w:rFonts w:ascii="宋体" w:hAnsi="Times New Roman" w:eastAsia="宋体" w:cs="宋体"/>
      <w:kern w:val="0"/>
      <w:sz w:val="24"/>
      <w:szCs w:val="24"/>
    </w:rPr>
  </w:style>
  <w:style w:type="character" w:customStyle="1" w:styleId="27">
    <w:name w:val="批注框文本 Char"/>
    <w:basedOn w:val="14"/>
    <w:link w:val="7"/>
    <w:semiHidden/>
    <w:qFormat/>
    <w:uiPriority w:val="99"/>
    <w:rPr>
      <w:sz w:val="18"/>
      <w:szCs w:val="18"/>
    </w:rPr>
  </w:style>
  <w:style w:type="character" w:customStyle="1" w:styleId="28">
    <w:name w:val="脚注文本 Char"/>
    <w:basedOn w:val="14"/>
    <w:link w:val="10"/>
    <w:semiHidden/>
    <w:qFormat/>
    <w:uiPriority w:val="99"/>
    <w:rPr>
      <w:sz w:val="18"/>
      <w:szCs w:val="18"/>
    </w:rPr>
  </w:style>
  <w:style w:type="character" w:customStyle="1" w:styleId="29">
    <w:name w:val="批注文字 Char"/>
    <w:basedOn w:val="14"/>
    <w:link w:val="5"/>
    <w:semiHidden/>
    <w:qFormat/>
    <w:uiPriority w:val="99"/>
  </w:style>
  <w:style w:type="character" w:customStyle="1" w:styleId="30">
    <w:name w:val="标题 Char"/>
    <w:basedOn w:val="14"/>
    <w:link w:val="11"/>
    <w:qFormat/>
    <w:uiPriority w:val="10"/>
    <w:rPr>
      <w:rFonts w:eastAsia="宋体" w:asciiTheme="majorHAnsi" w:hAnsiTheme="majorHAnsi" w:cstheme="majorBidi"/>
      <w:b/>
      <w:bCs/>
      <w:sz w:val="32"/>
      <w:szCs w:val="32"/>
    </w:rPr>
  </w:style>
  <w:style w:type="character" w:customStyle="1" w:styleId="31">
    <w:name w:val="正文文本 Char"/>
    <w:basedOn w:val="14"/>
    <w:link w:val="6"/>
    <w:qFormat/>
    <w:uiPriority w:val="1"/>
    <w:rPr>
      <w:rFonts w:ascii="宋体" w:hAnsi="宋体" w:eastAsia="宋体" w:cs="宋体"/>
      <w:kern w:val="0"/>
      <w:sz w:val="32"/>
      <w:szCs w:val="32"/>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2014-02-18T00:00:00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datastoreItem>
</file>

<file path=docProps/app.xml><?xml version="1.0" encoding="utf-8"?>
<Properties xmlns="http://schemas.openxmlformats.org/officeDocument/2006/extended-properties" xmlns:vt="http://schemas.openxmlformats.org/officeDocument/2006/docPropsVTypes">
  <Template>Normal.dotm</Template>
  <Company>http://www.deepbbs.org</Company>
  <Pages>6</Pages>
  <Words>2447</Words>
  <Characters>2596</Characters>
  <Lines>19</Lines>
  <Paragraphs>5</Paragraphs>
  <TotalTime>0</TotalTime>
  <ScaleCrop>false</ScaleCrop>
  <LinksUpToDate>false</LinksUpToDate>
  <CharactersWithSpaces>2616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2026-06-30T01:20:00Z</dcterms:created>
  <dc:creator>deeplm</dc:creator>
  <cp:lastModifiedBy>momo</cp:lastModifiedBy>
  <cp:lastPrinted>2014-03-17T03:12:00Z</cp:lastPrinted>
  <dcterms:modified xsi:type="dcterms:W3CDTF">2026-07-13T08:05:31Z</dcterms:modified>
  <dc:title>认可程序说明和背景介绍</dc:title>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eyJoZGlkIjoiZTk2MjMzMDU2MGYxYTJiMTM5YWVmNmYxZWI1OTU3NzUiLCJ1c2VySWQiOiIxNTc4NjQxMzMwIn0=</vt:lpwstr>
  </property>
  <property fmtid="{D5CDD505-2E9C-101B-9397-08002B2CF9AE}" pid="3" name="KSOProductBuildVer">
    <vt:lpwstr>2052-12.1.0.25225</vt:lpwstr>
  </property>
  <property fmtid="{D5CDD505-2E9C-101B-9397-08002B2CF9AE}" pid="4" name="ICV">
    <vt:lpwstr>92E11124750B4986BB0337F331991277_12</vt:lpwstr>
  </property>
</Properties>
</file>